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84A02" w14:textId="77777777" w:rsidR="00B47306" w:rsidRPr="00697D4B" w:rsidRDefault="00B47306" w:rsidP="00B47306">
      <w:pPr>
        <w:rPr>
          <w:rFonts w:ascii="Arial" w:hAnsi="Arial" w:cs="Arial"/>
        </w:rPr>
      </w:pPr>
      <w:r w:rsidRPr="00697D4B">
        <w:rPr>
          <w:rFonts w:ascii="Arial" w:hAnsi="Arial" w:cs="Arial"/>
        </w:rPr>
        <w:t>California Department of Education</w:t>
      </w:r>
    </w:p>
    <w:p w14:paraId="1CAF1CB7" w14:textId="77777777" w:rsidR="00B47306" w:rsidRPr="00697D4B" w:rsidRDefault="00B47306" w:rsidP="00B47306">
      <w:pPr>
        <w:rPr>
          <w:rFonts w:ascii="Arial" w:hAnsi="Arial" w:cs="Arial"/>
        </w:rPr>
      </w:pPr>
      <w:r w:rsidRPr="00697D4B">
        <w:rPr>
          <w:rFonts w:ascii="Arial" w:hAnsi="Arial" w:cs="Arial"/>
        </w:rPr>
        <w:t>Executive Office</w:t>
      </w:r>
    </w:p>
    <w:p w14:paraId="24E2896F" w14:textId="77777777" w:rsidR="00B47306" w:rsidRPr="00697D4B" w:rsidRDefault="00B47306" w:rsidP="00B47306">
      <w:pPr>
        <w:rPr>
          <w:rFonts w:ascii="Arial" w:hAnsi="Arial" w:cs="Arial"/>
        </w:rPr>
      </w:pPr>
      <w:r w:rsidRPr="00697D4B">
        <w:rPr>
          <w:rFonts w:ascii="Arial" w:hAnsi="Arial" w:cs="Arial"/>
        </w:rPr>
        <w:t>SBE-002 (REV. 11/2017)</w:t>
      </w:r>
    </w:p>
    <w:p w14:paraId="4A44C5A9" w14:textId="19B04BD8" w:rsidR="00B47306" w:rsidRPr="00697D4B" w:rsidRDefault="00B47306" w:rsidP="00B47306">
      <w:pPr>
        <w:rPr>
          <w:rFonts w:ascii="Arial" w:hAnsi="Arial" w:cs="Arial"/>
        </w:rPr>
      </w:pPr>
      <w:r>
        <w:br w:type="column"/>
      </w:r>
      <w:r w:rsidRPr="00697D4B">
        <w:rPr>
          <w:rFonts w:ascii="Arial" w:hAnsi="Arial" w:cs="Arial"/>
        </w:rPr>
        <w:t>memo-</w:t>
      </w:r>
      <w:r w:rsidR="00697D4B" w:rsidRPr="00697D4B">
        <w:rPr>
          <w:rFonts w:ascii="Arial" w:hAnsi="Arial" w:cs="Arial"/>
        </w:rPr>
        <w:t>im</w:t>
      </w:r>
      <w:r w:rsidRPr="00697D4B">
        <w:rPr>
          <w:rFonts w:ascii="Arial" w:hAnsi="Arial" w:cs="Arial"/>
        </w:rPr>
        <w:t>b-amard-apr21item01</w:t>
      </w:r>
    </w:p>
    <w:p w14:paraId="672A6659" w14:textId="77777777" w:rsidR="00B47306" w:rsidRDefault="00B47306" w:rsidP="00B47306">
      <w:pPr>
        <w:pStyle w:val="Heading1"/>
        <w:spacing w:line="360" w:lineRule="auto"/>
        <w:rPr>
          <w:rFonts w:ascii="Arial" w:hAnsi="Arial" w:cs="Arial"/>
          <w:b/>
          <w:color w:val="auto"/>
          <w:sz w:val="40"/>
          <w:szCs w:val="52"/>
        </w:rPr>
        <w:sectPr w:rsidR="00B47306" w:rsidSect="00B47306">
          <w:headerReference w:type="default" r:id="rId11"/>
          <w:footerReference w:type="default" r:id="rId12"/>
          <w:pgSz w:w="12240" w:h="15840"/>
          <w:pgMar w:top="720" w:right="1440" w:bottom="1440" w:left="1440" w:header="720" w:footer="720" w:gutter="0"/>
          <w:cols w:num="2" w:space="144" w:equalWidth="0">
            <w:col w:w="5760" w:space="144"/>
            <w:col w:w="3456"/>
          </w:cols>
          <w:titlePg/>
          <w:docGrid w:linePitch="326"/>
        </w:sectPr>
      </w:pPr>
    </w:p>
    <w:p w14:paraId="4587E384" w14:textId="77777777" w:rsidR="00B47306" w:rsidRPr="00AC5E4E" w:rsidRDefault="00B47306" w:rsidP="00B47306">
      <w:pPr>
        <w:pStyle w:val="Heading1"/>
        <w:spacing w:line="360" w:lineRule="auto"/>
        <w:rPr>
          <w:rFonts w:ascii="Arial" w:eastAsia="Arial" w:hAnsi="Arial" w:cs="Arial"/>
          <w:b/>
          <w:bCs/>
          <w:color w:val="auto"/>
          <w:sz w:val="40"/>
          <w:szCs w:val="40"/>
        </w:rPr>
      </w:pPr>
      <w:r w:rsidRPr="4F40ABB4">
        <w:rPr>
          <w:rFonts w:ascii="Arial" w:eastAsia="Arial" w:hAnsi="Arial" w:cs="Arial"/>
          <w:b/>
          <w:bCs/>
          <w:color w:val="auto"/>
          <w:sz w:val="40"/>
          <w:szCs w:val="40"/>
        </w:rPr>
        <w:t>MEMORANDUM</w:t>
      </w:r>
    </w:p>
    <w:p w14:paraId="0A37501D" w14:textId="77777777" w:rsidR="00B47306" w:rsidRDefault="00B47306" w:rsidP="00B47306">
      <w:pPr>
        <w:rPr>
          <w:rFonts w:ascii="Arial" w:eastAsia="Arial" w:hAnsi="Arial" w:cs="Arial"/>
        </w:rPr>
      </w:pPr>
    </w:p>
    <w:p w14:paraId="3105F7E0" w14:textId="16BCC112" w:rsidR="00B47306" w:rsidRDefault="00B47306" w:rsidP="00B47306">
      <w:pPr>
        <w:pStyle w:val="MessageHeader"/>
        <w:rPr>
          <w:rFonts w:eastAsia="Arial" w:cs="Arial"/>
        </w:rPr>
      </w:pPr>
      <w:r w:rsidRPr="677E9F7D">
        <w:rPr>
          <w:rFonts w:eastAsia="Arial" w:cs="Arial"/>
          <w:b/>
          <w:bCs/>
        </w:rPr>
        <w:t>DATE:</w:t>
      </w:r>
      <w:r>
        <w:tab/>
      </w:r>
      <w:r w:rsidR="00533255">
        <w:rPr>
          <w:rFonts w:eastAsia="Arial" w:cs="Arial"/>
        </w:rPr>
        <w:t>April</w:t>
      </w:r>
      <w:r w:rsidR="1A3E3469" w:rsidRPr="677E9F7D">
        <w:rPr>
          <w:rFonts w:eastAsia="Arial" w:cs="Arial"/>
        </w:rPr>
        <w:t xml:space="preserve"> 1</w:t>
      </w:r>
      <w:r w:rsidR="0047719B">
        <w:rPr>
          <w:rFonts w:eastAsia="Arial" w:cs="Arial"/>
        </w:rPr>
        <w:t>6</w:t>
      </w:r>
      <w:r w:rsidR="1A3E3469" w:rsidRPr="677E9F7D">
        <w:rPr>
          <w:rFonts w:eastAsia="Arial" w:cs="Arial"/>
        </w:rPr>
        <w:t>, 2021</w:t>
      </w:r>
    </w:p>
    <w:p w14:paraId="305E6DFC" w14:textId="77777777" w:rsidR="00B47306" w:rsidRPr="00AC5E4E" w:rsidRDefault="00B47306" w:rsidP="00B47306">
      <w:pPr>
        <w:pStyle w:val="MessageHeader"/>
        <w:rPr>
          <w:rFonts w:eastAsia="Arial" w:cs="Arial"/>
        </w:rPr>
      </w:pPr>
      <w:r w:rsidRPr="4F40ABB4">
        <w:rPr>
          <w:rFonts w:eastAsia="Arial" w:cs="Arial"/>
          <w:b/>
          <w:bCs/>
        </w:rPr>
        <w:t>TO:</w:t>
      </w:r>
      <w:r>
        <w:tab/>
      </w:r>
      <w:r w:rsidRPr="4F40ABB4">
        <w:rPr>
          <w:rFonts w:eastAsia="Arial" w:cs="Arial"/>
        </w:rPr>
        <w:t>MEMBERS, State Board of Education</w:t>
      </w:r>
    </w:p>
    <w:p w14:paraId="5D9BD065" w14:textId="61B8D396" w:rsidR="00B47306" w:rsidRPr="00AC5E4E" w:rsidRDefault="00B47306" w:rsidP="00B47306">
      <w:pPr>
        <w:pStyle w:val="MessageHeader"/>
        <w:rPr>
          <w:rFonts w:eastAsia="Arial" w:cs="Arial"/>
        </w:rPr>
      </w:pPr>
      <w:r w:rsidRPr="4F40ABB4">
        <w:rPr>
          <w:rFonts w:eastAsia="Arial" w:cs="Arial"/>
          <w:b/>
          <w:bCs/>
        </w:rPr>
        <w:t>FROM:</w:t>
      </w:r>
      <w:r>
        <w:tab/>
      </w:r>
      <w:r w:rsidR="00917CD7">
        <w:rPr>
          <w:rFonts w:eastAsia="Arial" w:cs="Arial"/>
        </w:rPr>
        <w:t>TONY THURMOND</w:t>
      </w:r>
      <w:r w:rsidRPr="4F40ABB4">
        <w:rPr>
          <w:rFonts w:eastAsia="Arial" w:cs="Arial"/>
        </w:rPr>
        <w:t>, State Superintendent of Public Instruction</w:t>
      </w:r>
    </w:p>
    <w:p w14:paraId="07B0A08A" w14:textId="77777777" w:rsidR="00B47306" w:rsidRDefault="00B47306" w:rsidP="00B47306">
      <w:pPr>
        <w:pStyle w:val="MessageHeader"/>
        <w:rPr>
          <w:rFonts w:eastAsia="Arial" w:cs="Arial"/>
          <w:color w:val="000000"/>
        </w:rPr>
      </w:pPr>
      <w:r w:rsidRPr="4F40ABB4">
        <w:rPr>
          <w:rFonts w:eastAsia="Arial" w:cs="Arial"/>
          <w:b/>
          <w:bCs/>
        </w:rPr>
        <w:t>SUBJECT:</w:t>
      </w:r>
      <w:r>
        <w:tab/>
      </w:r>
      <w:bookmarkStart w:id="0" w:name="_Hlk66369185"/>
      <w:r w:rsidRPr="4F40ABB4">
        <w:rPr>
          <w:rFonts w:eastAsia="Arial" w:cs="Arial"/>
          <w:color w:val="000000" w:themeColor="text1"/>
        </w:rPr>
        <w:t xml:space="preserve">Update on the Implementation of the Integrated Local, State, and Federal Accountability and Continuous Improvement System: </w:t>
      </w:r>
      <w:r w:rsidRPr="001171E7">
        <w:rPr>
          <w:rFonts w:cs="Arial"/>
          <w:color w:val="000000"/>
        </w:rPr>
        <w:t>Report on the Impact of the Dashboard Alternative School Status Graduation Rate on School Enrollment Patterns.</w:t>
      </w:r>
      <w:bookmarkEnd w:id="0"/>
    </w:p>
    <w:p w14:paraId="53CA9392" w14:textId="77777777" w:rsidR="00B47306" w:rsidRPr="00AC5E4E" w:rsidRDefault="00B47306" w:rsidP="00B47306">
      <w:pPr>
        <w:pStyle w:val="Heading2"/>
        <w:spacing w:before="240" w:after="240"/>
        <w:rPr>
          <w:rFonts w:eastAsia="Arial" w:cs="Arial"/>
          <w:sz w:val="36"/>
          <w:szCs w:val="36"/>
        </w:rPr>
      </w:pPr>
      <w:r w:rsidRPr="4F40ABB4">
        <w:rPr>
          <w:rFonts w:eastAsia="Arial" w:cs="Arial"/>
          <w:sz w:val="36"/>
          <w:szCs w:val="36"/>
        </w:rPr>
        <w:t>Summary of Key Issues</w:t>
      </w:r>
    </w:p>
    <w:p w14:paraId="33A0E8E6" w14:textId="50853AF7" w:rsidR="00B47306" w:rsidRDefault="00B47306" w:rsidP="566D3396">
      <w:pPr>
        <w:spacing w:after="240"/>
        <w:rPr>
          <w:rStyle w:val="normaltextrun"/>
          <w:rFonts w:ascii="Arial" w:eastAsia="Arial" w:hAnsi="Arial" w:cs="Arial"/>
          <w:color w:val="000000"/>
        </w:rPr>
      </w:pPr>
      <w:r w:rsidRPr="566D3396">
        <w:rPr>
          <w:rFonts w:ascii="Arial" w:eastAsia="Arial" w:hAnsi="Arial" w:cs="Arial"/>
        </w:rPr>
        <w:t>In May 2018, the State Board of Education (SBE) approved</w:t>
      </w:r>
      <w:r w:rsidR="00533255">
        <w:rPr>
          <w:rFonts w:ascii="Arial" w:eastAsia="Arial" w:hAnsi="Arial" w:cs="Arial"/>
        </w:rPr>
        <w:t xml:space="preserve"> the</w:t>
      </w:r>
      <w:r w:rsidRPr="566D3396">
        <w:rPr>
          <w:rFonts w:ascii="Arial" w:eastAsia="Arial" w:hAnsi="Arial" w:cs="Arial"/>
        </w:rPr>
        <w:t xml:space="preserve"> methodology for calculating the Dashboard Alternative School Status (DASS) graduation rate. </w:t>
      </w:r>
      <w:r w:rsidR="00697D4B">
        <w:rPr>
          <w:rFonts w:ascii="Arial" w:eastAsia="Arial" w:hAnsi="Arial" w:cs="Arial"/>
        </w:rPr>
        <w:t>During the discussion</w:t>
      </w:r>
      <w:r w:rsidRPr="566D3396">
        <w:rPr>
          <w:rFonts w:ascii="Arial" w:eastAsia="Arial" w:hAnsi="Arial" w:cs="Arial"/>
        </w:rPr>
        <w:t xml:space="preserve">, </w:t>
      </w:r>
      <w:r w:rsidR="00697D4B">
        <w:rPr>
          <w:rFonts w:ascii="Arial" w:eastAsia="Arial" w:hAnsi="Arial" w:cs="Arial"/>
        </w:rPr>
        <w:t xml:space="preserve">SBE </w:t>
      </w:r>
      <w:r w:rsidR="00533255">
        <w:rPr>
          <w:rFonts w:ascii="Arial" w:eastAsia="Arial" w:hAnsi="Arial" w:cs="Arial"/>
        </w:rPr>
        <w:t xml:space="preserve">members </w:t>
      </w:r>
      <w:r w:rsidRPr="566D3396">
        <w:rPr>
          <w:rFonts w:ascii="Arial" w:eastAsia="Arial" w:hAnsi="Arial" w:cs="Arial"/>
        </w:rPr>
        <w:t xml:space="preserve">raised </w:t>
      </w:r>
      <w:r w:rsidRPr="566D3396">
        <w:rPr>
          <w:rStyle w:val="normaltextrun"/>
          <w:rFonts w:ascii="Arial" w:eastAsia="Arial" w:hAnsi="Arial" w:cs="Arial"/>
          <w:color w:val="000000" w:themeColor="text1"/>
        </w:rPr>
        <w:t>concerns about the modified Graduation Rate Indicator’s potential to impact mobility between non-alternative and DASS schools. Specifically, the</w:t>
      </w:r>
      <w:r w:rsidR="004E3D3F">
        <w:rPr>
          <w:rStyle w:val="normaltextrun"/>
          <w:rFonts w:ascii="Arial" w:eastAsia="Arial" w:hAnsi="Arial" w:cs="Arial"/>
          <w:color w:val="000000" w:themeColor="text1"/>
        </w:rPr>
        <w:t xml:space="preserve"> SBE provided feedback</w:t>
      </w:r>
      <w:r w:rsidRPr="566D3396">
        <w:rPr>
          <w:rStyle w:val="normaltextrun"/>
          <w:rFonts w:ascii="Arial" w:eastAsia="Arial" w:hAnsi="Arial" w:cs="Arial"/>
          <w:color w:val="000000" w:themeColor="text1"/>
        </w:rPr>
        <w:t xml:space="preserve"> about the potential increase of student transfers from non-alternative high schools into DASS high schools. The SBE directed the California Department of Education (CDE) to conduct analyses of enrollment data when it became available.</w:t>
      </w:r>
    </w:p>
    <w:p w14:paraId="685BAEEF" w14:textId="35D8FE1E" w:rsidR="00B47306" w:rsidRPr="00611311" w:rsidRDefault="00B47306" w:rsidP="00B47306">
      <w:pPr>
        <w:spacing w:after="240"/>
        <w:rPr>
          <w:rFonts w:ascii="Arial" w:eastAsia="Arial" w:hAnsi="Arial" w:cs="Arial"/>
        </w:rPr>
      </w:pPr>
      <w:r w:rsidRPr="566D3396">
        <w:rPr>
          <w:rStyle w:val="normaltextrun"/>
          <w:rFonts w:ascii="Arial" w:eastAsia="Arial" w:hAnsi="Arial" w:cs="Arial"/>
          <w:color w:val="000000" w:themeColor="text1"/>
        </w:rPr>
        <w:t>In August 2019, the CDE presented the SBE with an</w:t>
      </w:r>
      <w:r w:rsidR="00697D4B">
        <w:rPr>
          <w:rStyle w:val="normaltextrun"/>
          <w:rFonts w:ascii="Arial" w:eastAsia="Arial" w:hAnsi="Arial" w:cs="Arial"/>
          <w:color w:val="000000" w:themeColor="text1"/>
        </w:rPr>
        <w:t xml:space="preserve"> </w:t>
      </w:r>
      <w:r w:rsidRPr="566D3396">
        <w:rPr>
          <w:rStyle w:val="normaltextrun"/>
          <w:rFonts w:ascii="Arial" w:eastAsia="Arial" w:hAnsi="Arial" w:cs="Arial"/>
          <w:color w:val="000000" w:themeColor="text1"/>
        </w:rPr>
        <w:t>Information Memorandum, identifying the</w:t>
      </w:r>
      <w:r w:rsidR="00697D4B">
        <w:rPr>
          <w:rStyle w:val="normaltextrun"/>
          <w:rFonts w:ascii="Arial" w:eastAsia="Arial" w:hAnsi="Arial" w:cs="Arial"/>
          <w:color w:val="000000" w:themeColor="text1"/>
        </w:rPr>
        <w:t xml:space="preserve"> </w:t>
      </w:r>
      <w:r w:rsidRPr="566D3396">
        <w:rPr>
          <w:rStyle w:val="normaltextrun"/>
          <w:rFonts w:ascii="Arial" w:eastAsia="Arial" w:hAnsi="Arial" w:cs="Arial"/>
          <w:color w:val="000000" w:themeColor="text1"/>
        </w:rPr>
        <w:t>trends in student transfers from non-alternative</w:t>
      </w:r>
      <w:r w:rsidR="00697D4B">
        <w:rPr>
          <w:rStyle w:val="normaltextrun"/>
          <w:rFonts w:ascii="Arial" w:eastAsia="Arial" w:hAnsi="Arial" w:cs="Arial"/>
          <w:color w:val="000000" w:themeColor="text1"/>
        </w:rPr>
        <w:t xml:space="preserve"> </w:t>
      </w:r>
      <w:r w:rsidRPr="566D3396">
        <w:rPr>
          <w:rStyle w:val="normaltextrun"/>
          <w:rFonts w:ascii="Arial" w:eastAsia="Arial" w:hAnsi="Arial" w:cs="Arial"/>
          <w:color w:val="000000" w:themeColor="text1"/>
        </w:rPr>
        <w:t>to DASS</w:t>
      </w:r>
      <w:r w:rsidR="00697D4B">
        <w:rPr>
          <w:rStyle w:val="normaltextrun"/>
          <w:rFonts w:ascii="Arial" w:eastAsia="Arial" w:hAnsi="Arial" w:cs="Arial"/>
          <w:color w:val="000000" w:themeColor="text1"/>
        </w:rPr>
        <w:t xml:space="preserve"> </w:t>
      </w:r>
      <w:r w:rsidRPr="566D3396">
        <w:rPr>
          <w:rStyle w:val="normaltextrun"/>
          <w:rFonts w:ascii="Arial" w:eastAsia="Arial" w:hAnsi="Arial" w:cs="Arial"/>
          <w:color w:val="000000" w:themeColor="text1"/>
        </w:rPr>
        <w:t>high schools during the 2017–2018 and 2018–2019 school years.</w:t>
      </w:r>
      <w:r w:rsidR="00697D4B">
        <w:rPr>
          <w:rStyle w:val="normaltextrun"/>
          <w:rFonts w:ascii="Arial" w:eastAsia="Arial" w:hAnsi="Arial" w:cs="Arial"/>
          <w:color w:val="000000" w:themeColor="text1"/>
        </w:rPr>
        <w:t xml:space="preserve"> </w:t>
      </w:r>
      <w:r w:rsidRPr="566D3396">
        <w:rPr>
          <w:rStyle w:val="normaltextrun"/>
          <w:rFonts w:ascii="Arial" w:eastAsia="Arial" w:hAnsi="Arial" w:cs="Arial"/>
          <w:color w:val="000000" w:themeColor="text1"/>
        </w:rPr>
        <w:t>The analyses showed</w:t>
      </w:r>
      <w:r w:rsidR="00697D4B">
        <w:rPr>
          <w:rStyle w:val="normaltextrun"/>
          <w:rFonts w:ascii="Arial" w:eastAsia="Arial" w:hAnsi="Arial" w:cs="Arial"/>
          <w:color w:val="000000" w:themeColor="text1"/>
        </w:rPr>
        <w:t xml:space="preserve"> </w:t>
      </w:r>
      <w:r w:rsidRPr="566D3396">
        <w:rPr>
          <w:rStyle w:val="normaltextrun"/>
          <w:rFonts w:ascii="Arial" w:eastAsia="Arial" w:hAnsi="Arial" w:cs="Arial"/>
          <w:color w:val="000000" w:themeColor="text1"/>
        </w:rPr>
        <w:t>that transfer patterns from 2017–2018 continued onto the 2018–2019 school year. Monthly counts, race/ethnicity student group counts, and program student group counts all stayed</w:t>
      </w:r>
      <w:r w:rsidR="00697D4B">
        <w:rPr>
          <w:rStyle w:val="normaltextrun"/>
          <w:rFonts w:ascii="Arial" w:eastAsia="Arial" w:hAnsi="Arial" w:cs="Arial"/>
          <w:color w:val="000000" w:themeColor="text1"/>
        </w:rPr>
        <w:t xml:space="preserve"> </w:t>
      </w:r>
      <w:r w:rsidRPr="566D3396">
        <w:rPr>
          <w:rStyle w:val="normaltextrun"/>
          <w:rFonts w:ascii="Arial" w:eastAsia="Arial" w:hAnsi="Arial" w:cs="Arial"/>
          <w:color w:val="000000" w:themeColor="text1"/>
        </w:rPr>
        <w:t>relatively consistent between the 2017–2018 and 2018–2019 school years. The only exception was the notable decrease in Foster Youth in the 2018–2019 transfers. Overall, transfer patterns were not significantly different within this two-year span.</w:t>
      </w:r>
      <w:r w:rsidR="00533255">
        <w:rPr>
          <w:rStyle w:val="normaltextrun"/>
          <w:rFonts w:ascii="Arial" w:eastAsia="Arial" w:hAnsi="Arial" w:cs="Arial"/>
          <w:color w:val="000000" w:themeColor="text1"/>
        </w:rPr>
        <w:t xml:space="preserve"> </w:t>
      </w:r>
      <w:r w:rsidRPr="566D3396">
        <w:rPr>
          <w:rStyle w:val="normaltextrun"/>
          <w:rFonts w:ascii="Arial" w:eastAsia="Arial" w:hAnsi="Arial" w:cs="Arial"/>
          <w:color w:val="000000" w:themeColor="text1"/>
        </w:rPr>
        <w:t>Nevertheless, the CDE</w:t>
      </w:r>
      <w:r w:rsidR="00533255">
        <w:rPr>
          <w:rStyle w:val="normaltextrun"/>
          <w:rFonts w:ascii="Arial" w:eastAsia="Arial" w:hAnsi="Arial" w:cs="Arial"/>
          <w:color w:val="000000" w:themeColor="text1"/>
        </w:rPr>
        <w:t xml:space="preserve"> </w:t>
      </w:r>
      <w:r w:rsidRPr="566D3396">
        <w:rPr>
          <w:rStyle w:val="normaltextrun"/>
          <w:rFonts w:ascii="Arial" w:eastAsia="Arial" w:hAnsi="Arial" w:cs="Arial"/>
          <w:color w:val="000000" w:themeColor="text1"/>
        </w:rPr>
        <w:t>committed to conduct additional transfer analyses</w:t>
      </w:r>
      <w:r w:rsidR="00697D4B">
        <w:rPr>
          <w:rStyle w:val="normaltextrun"/>
          <w:rFonts w:ascii="Arial" w:eastAsia="Arial" w:hAnsi="Arial" w:cs="Arial"/>
          <w:color w:val="000000" w:themeColor="text1"/>
        </w:rPr>
        <w:t xml:space="preserve"> </w:t>
      </w:r>
      <w:r w:rsidRPr="566D3396">
        <w:rPr>
          <w:rStyle w:val="normaltextrun"/>
          <w:rFonts w:ascii="Arial" w:eastAsia="Arial" w:hAnsi="Arial" w:cs="Arial"/>
          <w:color w:val="000000" w:themeColor="text1"/>
        </w:rPr>
        <w:t>for the next</w:t>
      </w:r>
      <w:r w:rsidR="00697D4B">
        <w:rPr>
          <w:rStyle w:val="normaltextrun"/>
          <w:rFonts w:ascii="Arial" w:eastAsia="Arial" w:hAnsi="Arial" w:cs="Arial"/>
          <w:color w:val="000000" w:themeColor="text1"/>
        </w:rPr>
        <w:t xml:space="preserve"> </w:t>
      </w:r>
      <w:r w:rsidRPr="566D3396">
        <w:rPr>
          <w:rStyle w:val="normaltextrun"/>
          <w:rFonts w:ascii="Arial" w:eastAsia="Arial" w:hAnsi="Arial" w:cs="Arial"/>
          <w:color w:val="000000" w:themeColor="text1"/>
        </w:rPr>
        <w:t xml:space="preserve">two years. </w:t>
      </w:r>
      <w:r w:rsidRPr="566D3396">
        <w:rPr>
          <w:rFonts w:ascii="Arial" w:eastAsia="Arial" w:hAnsi="Arial" w:cs="Arial"/>
        </w:rPr>
        <w:t>This Information Memorandum provides the results of the most recent analyses</w:t>
      </w:r>
      <w:r w:rsidR="00697D4B">
        <w:rPr>
          <w:rFonts w:ascii="Arial" w:eastAsia="Arial" w:hAnsi="Arial" w:cs="Arial"/>
        </w:rPr>
        <w:t xml:space="preserve"> based on data from the </w:t>
      </w:r>
      <w:r w:rsidR="00697D4B" w:rsidRPr="00F4519D">
        <w:rPr>
          <w:rFonts w:ascii="Arial" w:hAnsi="Arial" w:cs="Arial"/>
        </w:rPr>
        <w:t xml:space="preserve">2017–2018 and 2019–2020 </w:t>
      </w:r>
      <w:r w:rsidR="00697D4B">
        <w:rPr>
          <w:rFonts w:ascii="Arial" w:hAnsi="Arial" w:cs="Arial"/>
        </w:rPr>
        <w:t>school</w:t>
      </w:r>
      <w:r w:rsidR="00697D4B" w:rsidRPr="00F4519D">
        <w:rPr>
          <w:rFonts w:ascii="Arial" w:hAnsi="Arial" w:cs="Arial"/>
        </w:rPr>
        <w:t xml:space="preserve"> years</w:t>
      </w:r>
      <w:r w:rsidRPr="566D3396">
        <w:rPr>
          <w:rFonts w:ascii="Arial" w:eastAsia="Arial" w:hAnsi="Arial" w:cs="Arial"/>
        </w:rPr>
        <w:t>.</w:t>
      </w:r>
    </w:p>
    <w:p w14:paraId="57ADDF1E" w14:textId="77777777" w:rsidR="00B47306" w:rsidRPr="00127349" w:rsidRDefault="00B47306" w:rsidP="00B47306">
      <w:pPr>
        <w:pStyle w:val="Heading2"/>
        <w:spacing w:after="240"/>
        <w:rPr>
          <w:rFonts w:eastAsia="Arial" w:cs="Arial"/>
          <w:sz w:val="36"/>
          <w:szCs w:val="36"/>
        </w:rPr>
      </w:pPr>
      <w:r w:rsidRPr="4F40ABB4">
        <w:rPr>
          <w:rFonts w:eastAsia="Arial" w:cs="Arial"/>
          <w:sz w:val="36"/>
          <w:szCs w:val="36"/>
        </w:rPr>
        <w:t>Prior State Board of Education Action and Discussion</w:t>
      </w:r>
    </w:p>
    <w:p w14:paraId="53740483" w14:textId="0F2E271E" w:rsidR="00B47306" w:rsidRPr="00533255" w:rsidRDefault="00B47306" w:rsidP="00B47306">
      <w:pPr>
        <w:pStyle w:val="paragraph"/>
        <w:spacing w:before="0" w:beforeAutospacing="0" w:after="0" w:afterAutospacing="0"/>
        <w:textAlignment w:val="baseline"/>
        <w:rPr>
          <w:rFonts w:ascii="Arial" w:eastAsia="Arial" w:hAnsi="Arial" w:cs="Arial"/>
          <w:sz w:val="18"/>
          <w:szCs w:val="18"/>
        </w:rPr>
      </w:pPr>
      <w:r w:rsidRPr="00533255">
        <w:rPr>
          <w:rStyle w:val="normaltextrun"/>
          <w:rFonts w:ascii="Arial" w:eastAsia="Arial" w:hAnsi="Arial" w:cs="Arial"/>
          <w:color w:val="000000" w:themeColor="text1"/>
        </w:rPr>
        <w:t>In July 2017, the SBE approved criteria for schools to apply for DASS (</w:t>
      </w:r>
      <w:hyperlink r:id="rId13" w:tooltip="July 2017 SBE 2017 Item">
        <w:r w:rsidRPr="00533255">
          <w:rPr>
            <w:rStyle w:val="normaltextrun"/>
            <w:rFonts w:ascii="Arial" w:eastAsia="Arial" w:hAnsi="Arial" w:cs="Arial"/>
            <w:color w:val="0000FF"/>
            <w:u w:val="single"/>
          </w:rPr>
          <w:t>https://www.cde.ca.gov/be/ag/ag/yr17/documents/jul17item01.doc</w:t>
        </w:r>
      </w:hyperlink>
      <w:r w:rsidRPr="00533255">
        <w:rPr>
          <w:rStyle w:val="normaltextrun"/>
          <w:rFonts w:ascii="Arial" w:eastAsia="Arial" w:hAnsi="Arial" w:cs="Arial"/>
          <w:color w:val="000000" w:themeColor="text1"/>
        </w:rPr>
        <w:t>).</w:t>
      </w:r>
    </w:p>
    <w:p w14:paraId="4BCB9C73" w14:textId="06D38D37" w:rsidR="00B47306" w:rsidRPr="00533255" w:rsidRDefault="00B47306" w:rsidP="00B47306">
      <w:pPr>
        <w:pStyle w:val="paragraph"/>
        <w:spacing w:before="0" w:beforeAutospacing="0" w:after="0" w:afterAutospacing="0"/>
        <w:textAlignment w:val="baseline"/>
        <w:rPr>
          <w:rFonts w:ascii="Arial" w:eastAsia="Arial" w:hAnsi="Arial" w:cs="Arial"/>
          <w:sz w:val="18"/>
          <w:szCs w:val="18"/>
        </w:rPr>
      </w:pPr>
      <w:r w:rsidRPr="00533255">
        <w:rPr>
          <w:rStyle w:val="normaltextrun"/>
          <w:rFonts w:ascii="Arial" w:eastAsia="Arial" w:hAnsi="Arial" w:cs="Arial"/>
          <w:color w:val="000000" w:themeColor="text1"/>
        </w:rPr>
        <w:lastRenderedPageBreak/>
        <w:t>In March 2018, the SBE reviewed proposed revisions for the 2018 Dashboard, including the incorporation of modified methods for DASS schools (</w:t>
      </w:r>
      <w:hyperlink r:id="rId14" w:tooltip="March 2018 SBE Item">
        <w:r w:rsidRPr="00533255">
          <w:rPr>
            <w:rStyle w:val="normaltextrun"/>
            <w:rFonts w:ascii="Arial" w:eastAsia="Arial" w:hAnsi="Arial" w:cs="Arial"/>
            <w:color w:val="0000FF"/>
            <w:u w:val="single"/>
          </w:rPr>
          <w:t>https://www.cde.ca.gov/be/ag/ag/yr18/documents/mar18item01.docx</w:t>
        </w:r>
      </w:hyperlink>
      <w:r w:rsidRPr="00533255">
        <w:rPr>
          <w:rStyle w:val="normaltextrun"/>
          <w:rFonts w:ascii="Arial" w:eastAsia="Arial" w:hAnsi="Arial" w:cs="Arial"/>
          <w:color w:val="000000" w:themeColor="text1"/>
        </w:rPr>
        <w:t>).</w:t>
      </w:r>
    </w:p>
    <w:p w14:paraId="63E4A9CD" w14:textId="4D3D98D9" w:rsidR="00B47306" w:rsidRPr="00533255" w:rsidRDefault="00B47306" w:rsidP="00B47306">
      <w:pPr>
        <w:pStyle w:val="paragraph"/>
        <w:spacing w:before="0" w:beforeAutospacing="0" w:after="0" w:afterAutospacing="0"/>
        <w:textAlignment w:val="baseline"/>
        <w:rPr>
          <w:rFonts w:ascii="Arial" w:eastAsia="Arial" w:hAnsi="Arial" w:cs="Arial"/>
          <w:sz w:val="18"/>
          <w:szCs w:val="18"/>
        </w:rPr>
      </w:pPr>
    </w:p>
    <w:p w14:paraId="78B9A1DB" w14:textId="589F19BA" w:rsidR="00B47306" w:rsidRPr="00533255" w:rsidRDefault="00B47306" w:rsidP="00B47306">
      <w:pPr>
        <w:pStyle w:val="paragraph"/>
        <w:spacing w:before="0" w:beforeAutospacing="0" w:after="0" w:afterAutospacing="0"/>
        <w:textAlignment w:val="baseline"/>
        <w:rPr>
          <w:rFonts w:ascii="Arial" w:eastAsia="Arial" w:hAnsi="Arial" w:cs="Arial"/>
          <w:sz w:val="18"/>
          <w:szCs w:val="18"/>
        </w:rPr>
      </w:pPr>
      <w:r w:rsidRPr="00533255">
        <w:rPr>
          <w:rStyle w:val="normaltextrun"/>
          <w:rFonts w:ascii="Arial" w:eastAsia="Arial" w:hAnsi="Arial" w:cs="Arial"/>
          <w:color w:val="000000" w:themeColor="text1"/>
        </w:rPr>
        <w:t xml:space="preserve">In May 2018, the SBE approved </w:t>
      </w:r>
      <w:r w:rsidR="00533255">
        <w:rPr>
          <w:rStyle w:val="normaltextrun"/>
          <w:rFonts w:ascii="Arial" w:eastAsia="Arial" w:hAnsi="Arial" w:cs="Arial"/>
          <w:color w:val="000000" w:themeColor="text1"/>
        </w:rPr>
        <w:t xml:space="preserve">the </w:t>
      </w:r>
      <w:r w:rsidRPr="00533255">
        <w:rPr>
          <w:rStyle w:val="normaltextrun"/>
          <w:rFonts w:ascii="Arial" w:eastAsia="Arial" w:hAnsi="Arial" w:cs="Arial"/>
          <w:color w:val="000000" w:themeColor="text1"/>
        </w:rPr>
        <w:t>methodology for calculating the one-year graduation rate</w:t>
      </w:r>
      <w:r w:rsidR="00697D4B">
        <w:rPr>
          <w:rStyle w:val="normaltextrun"/>
          <w:rFonts w:ascii="Arial" w:eastAsia="Arial" w:hAnsi="Arial" w:cs="Arial"/>
          <w:color w:val="000000" w:themeColor="text1"/>
        </w:rPr>
        <w:t xml:space="preserve"> </w:t>
      </w:r>
      <w:r w:rsidRPr="00533255">
        <w:rPr>
          <w:rStyle w:val="normaltextrun"/>
          <w:rFonts w:ascii="Arial" w:eastAsia="Arial" w:hAnsi="Arial" w:cs="Arial"/>
          <w:color w:val="000000" w:themeColor="text1"/>
        </w:rPr>
        <w:t>and directed the CDE to conduct analyses of enrollment data when it became available</w:t>
      </w:r>
      <w:r w:rsidR="00697D4B">
        <w:rPr>
          <w:rStyle w:val="normaltextrun"/>
          <w:rFonts w:ascii="Arial" w:eastAsia="Arial" w:hAnsi="Arial" w:cs="Arial"/>
          <w:color w:val="000000" w:themeColor="text1"/>
        </w:rPr>
        <w:t xml:space="preserve"> </w:t>
      </w:r>
    </w:p>
    <w:p w14:paraId="68437AAF" w14:textId="67EF5C5A" w:rsidR="00B47306" w:rsidRPr="00533255" w:rsidRDefault="00B47306" w:rsidP="00B47306">
      <w:pPr>
        <w:pStyle w:val="paragraph"/>
        <w:spacing w:before="0" w:beforeAutospacing="0" w:after="0" w:afterAutospacing="0"/>
        <w:textAlignment w:val="baseline"/>
        <w:rPr>
          <w:rFonts w:ascii="Arial" w:eastAsia="Arial" w:hAnsi="Arial" w:cs="Arial"/>
          <w:sz w:val="18"/>
          <w:szCs w:val="18"/>
        </w:rPr>
      </w:pPr>
      <w:r w:rsidRPr="00533255">
        <w:rPr>
          <w:rStyle w:val="normaltextrun"/>
          <w:rFonts w:ascii="Arial" w:eastAsia="Arial" w:hAnsi="Arial" w:cs="Arial"/>
          <w:color w:val="000000" w:themeColor="text1"/>
        </w:rPr>
        <w:t>(</w:t>
      </w:r>
      <w:hyperlink r:id="rId15" w:tooltip="May 2018 SBE Item 02">
        <w:r w:rsidRPr="00533255">
          <w:rPr>
            <w:rStyle w:val="normaltextrun"/>
            <w:rFonts w:ascii="Arial" w:eastAsia="Arial" w:hAnsi="Arial" w:cs="Arial"/>
            <w:color w:val="0000FF"/>
            <w:u w:val="single"/>
          </w:rPr>
          <w:t>https://www.cde.ca.gov/be/ag/ag/yr18/documents/may18item02.docx</w:t>
        </w:r>
      </w:hyperlink>
      <w:r w:rsidRPr="00533255">
        <w:rPr>
          <w:rStyle w:val="normaltextrun"/>
          <w:rFonts w:ascii="Arial" w:eastAsia="Arial" w:hAnsi="Arial" w:cs="Arial"/>
          <w:color w:val="000000" w:themeColor="text1"/>
        </w:rPr>
        <w:t>).</w:t>
      </w:r>
    </w:p>
    <w:p w14:paraId="4F6584BE" w14:textId="3D21768B" w:rsidR="00B47306" w:rsidRPr="00533255" w:rsidRDefault="00B47306" w:rsidP="00B47306">
      <w:pPr>
        <w:pStyle w:val="paragraph"/>
        <w:spacing w:before="0" w:beforeAutospacing="0" w:after="0" w:afterAutospacing="0"/>
        <w:textAlignment w:val="baseline"/>
        <w:rPr>
          <w:rFonts w:ascii="Arial" w:eastAsia="Arial" w:hAnsi="Arial" w:cs="Arial"/>
          <w:sz w:val="18"/>
          <w:szCs w:val="18"/>
        </w:rPr>
      </w:pPr>
    </w:p>
    <w:p w14:paraId="7BE76E60" w14:textId="06D3FD62" w:rsidR="00B47306" w:rsidRPr="00533255" w:rsidRDefault="00B47306" w:rsidP="00B47306">
      <w:pPr>
        <w:pStyle w:val="paragraph"/>
        <w:spacing w:before="0" w:beforeAutospacing="0" w:after="0" w:afterAutospacing="0"/>
        <w:textAlignment w:val="baseline"/>
        <w:rPr>
          <w:rFonts w:ascii="Arial" w:eastAsia="Arial" w:hAnsi="Arial" w:cs="Arial"/>
          <w:sz w:val="18"/>
          <w:szCs w:val="18"/>
        </w:rPr>
      </w:pPr>
      <w:r w:rsidRPr="00533255">
        <w:rPr>
          <w:rStyle w:val="normaltextrun"/>
          <w:rFonts w:ascii="Arial" w:eastAsia="Arial" w:hAnsi="Arial" w:cs="Arial"/>
        </w:rPr>
        <w:t>In August 2019,</w:t>
      </w:r>
      <w:r w:rsidR="00697D4B">
        <w:rPr>
          <w:rStyle w:val="normaltextrun"/>
          <w:rFonts w:ascii="Arial" w:eastAsia="Arial" w:hAnsi="Arial" w:cs="Arial"/>
        </w:rPr>
        <w:t xml:space="preserve"> </w:t>
      </w:r>
      <w:r w:rsidRPr="00533255">
        <w:rPr>
          <w:rStyle w:val="normaltextrun"/>
          <w:rFonts w:ascii="Arial" w:eastAsia="Arial" w:hAnsi="Arial" w:cs="Arial"/>
        </w:rPr>
        <w:t xml:space="preserve">the SBE </w:t>
      </w:r>
      <w:r w:rsidR="00697D4B">
        <w:rPr>
          <w:rStyle w:val="normaltextrun"/>
          <w:rFonts w:ascii="Arial" w:eastAsia="Arial" w:hAnsi="Arial" w:cs="Arial"/>
        </w:rPr>
        <w:t xml:space="preserve">received </w:t>
      </w:r>
      <w:r w:rsidRPr="00533255">
        <w:rPr>
          <w:rStyle w:val="normaltextrun"/>
          <w:rFonts w:ascii="Arial" w:eastAsia="Arial" w:hAnsi="Arial" w:cs="Arial"/>
        </w:rPr>
        <w:t>an Information Memorandum, identifying the enrollment</w:t>
      </w:r>
      <w:r w:rsidR="00697D4B">
        <w:rPr>
          <w:rStyle w:val="normaltextrun"/>
          <w:rFonts w:ascii="Arial" w:eastAsia="Arial" w:hAnsi="Arial" w:cs="Arial"/>
        </w:rPr>
        <w:t xml:space="preserve"> </w:t>
      </w:r>
      <w:r w:rsidRPr="00533255">
        <w:rPr>
          <w:rStyle w:val="normaltextrun"/>
          <w:rFonts w:ascii="Arial" w:eastAsia="Arial" w:hAnsi="Arial" w:cs="Arial"/>
        </w:rPr>
        <w:t>data for</w:t>
      </w:r>
      <w:r w:rsidR="00697D4B">
        <w:rPr>
          <w:rStyle w:val="normaltextrun"/>
          <w:rFonts w:ascii="Arial" w:eastAsia="Arial" w:hAnsi="Arial" w:cs="Arial"/>
        </w:rPr>
        <w:t xml:space="preserve"> </w:t>
      </w:r>
      <w:r w:rsidRPr="00533255">
        <w:rPr>
          <w:rStyle w:val="normaltextrun"/>
          <w:rFonts w:ascii="Arial" w:eastAsia="Arial" w:hAnsi="Arial" w:cs="Arial"/>
        </w:rPr>
        <w:t>DASS and non-DASS schools</w:t>
      </w:r>
      <w:r w:rsidR="00697D4B">
        <w:rPr>
          <w:rStyle w:val="normaltextrun"/>
          <w:rFonts w:ascii="Arial" w:eastAsia="Arial" w:hAnsi="Arial" w:cs="Arial"/>
        </w:rPr>
        <w:t xml:space="preserve"> </w:t>
      </w:r>
      <w:r w:rsidRPr="00533255">
        <w:rPr>
          <w:rStyle w:val="normaltextrun"/>
          <w:rFonts w:ascii="Arial" w:eastAsia="Arial" w:hAnsi="Arial" w:cs="Arial"/>
        </w:rPr>
        <w:t>and the rates of transition from non-DASS to DASS schools</w:t>
      </w:r>
      <w:r w:rsidR="00697D4B">
        <w:rPr>
          <w:rStyle w:val="normaltextrun"/>
          <w:rFonts w:ascii="Arial" w:eastAsia="Arial" w:hAnsi="Arial" w:cs="Arial"/>
        </w:rPr>
        <w:t xml:space="preserve"> </w:t>
      </w:r>
      <w:r w:rsidRPr="00533255">
        <w:rPr>
          <w:rStyle w:val="normaltextrun"/>
          <w:rFonts w:ascii="Arial" w:eastAsia="Arial" w:hAnsi="Arial" w:cs="Arial"/>
        </w:rPr>
        <w:t>during</w:t>
      </w:r>
      <w:r w:rsidR="00697D4B">
        <w:rPr>
          <w:rStyle w:val="normaltextrun"/>
          <w:rFonts w:ascii="Arial" w:eastAsia="Arial" w:hAnsi="Arial" w:cs="Arial"/>
        </w:rPr>
        <w:t xml:space="preserve"> </w:t>
      </w:r>
      <w:r w:rsidRPr="00533255">
        <w:rPr>
          <w:rStyle w:val="normaltextrun"/>
          <w:rFonts w:ascii="Arial" w:eastAsia="Arial" w:hAnsi="Arial" w:cs="Arial"/>
        </w:rPr>
        <w:t>the 2017</w:t>
      </w:r>
      <w:r w:rsidR="00697D4B">
        <w:rPr>
          <w:rStyle w:val="normaltextrun"/>
          <w:rFonts w:ascii="Arial" w:eastAsia="Arial" w:hAnsi="Arial" w:cs="Arial"/>
        </w:rPr>
        <w:t>–</w:t>
      </w:r>
      <w:r w:rsidRPr="00533255">
        <w:rPr>
          <w:rStyle w:val="normaltextrun"/>
          <w:rFonts w:ascii="Arial" w:eastAsia="Arial" w:hAnsi="Arial" w:cs="Arial"/>
        </w:rPr>
        <w:t>18 and 2018</w:t>
      </w:r>
      <w:r w:rsidR="00697D4B">
        <w:rPr>
          <w:rStyle w:val="normaltextrun"/>
          <w:rFonts w:ascii="Arial" w:eastAsia="Arial" w:hAnsi="Arial" w:cs="Arial"/>
        </w:rPr>
        <w:t>–</w:t>
      </w:r>
      <w:r w:rsidRPr="00533255">
        <w:rPr>
          <w:rStyle w:val="normaltextrun"/>
          <w:rFonts w:ascii="Arial" w:eastAsia="Arial" w:hAnsi="Arial" w:cs="Arial"/>
        </w:rPr>
        <w:t>19 school years (</w:t>
      </w:r>
      <w:hyperlink r:id="rId16" w:tooltip="August 2019 SBE Memo">
        <w:r w:rsidRPr="00533255">
          <w:rPr>
            <w:rStyle w:val="normaltextrun"/>
            <w:rFonts w:ascii="Arial" w:eastAsia="Arial" w:hAnsi="Arial" w:cs="Arial"/>
            <w:color w:val="0000FF"/>
            <w:u w:val="single"/>
          </w:rPr>
          <w:t>https://www.cde.ca.gov/be/pn/im/documents/memo-pptb-amard-aug19item01.docx</w:t>
        </w:r>
      </w:hyperlink>
      <w:r w:rsidRPr="00533255">
        <w:rPr>
          <w:rStyle w:val="normaltextrun"/>
          <w:rFonts w:ascii="Arial" w:eastAsia="Arial" w:hAnsi="Arial" w:cs="Arial"/>
        </w:rPr>
        <w:t>).</w:t>
      </w:r>
    </w:p>
    <w:p w14:paraId="679B1EC2" w14:textId="77777777" w:rsidR="00B47306" w:rsidRPr="00F4519D" w:rsidRDefault="00B47306" w:rsidP="00B47306">
      <w:pPr>
        <w:pStyle w:val="Heading2"/>
        <w:spacing w:before="240" w:after="0" w:line="360" w:lineRule="auto"/>
        <w:rPr>
          <w:rFonts w:eastAsia="Arial" w:cs="Arial"/>
          <w:sz w:val="36"/>
          <w:szCs w:val="36"/>
        </w:rPr>
      </w:pPr>
      <w:r w:rsidRPr="00F4519D">
        <w:rPr>
          <w:rFonts w:eastAsia="Arial" w:cs="Arial"/>
          <w:sz w:val="36"/>
          <w:szCs w:val="36"/>
        </w:rPr>
        <w:t>Attachment(s)</w:t>
      </w:r>
    </w:p>
    <w:p w14:paraId="575DB134" w14:textId="2D2779F2" w:rsidR="00B47306" w:rsidRPr="000C53D9" w:rsidRDefault="00B47306" w:rsidP="00B47306">
      <w:pPr>
        <w:pStyle w:val="ListParagraph"/>
        <w:numPr>
          <w:ilvl w:val="0"/>
          <w:numId w:val="23"/>
        </w:numPr>
        <w:rPr>
          <w:rFonts w:ascii="Arial" w:eastAsia="Arial" w:hAnsi="Arial" w:cs="Arial"/>
        </w:rPr>
      </w:pPr>
      <w:r w:rsidRPr="4F40ABB4">
        <w:rPr>
          <w:rFonts w:ascii="Arial" w:eastAsia="Arial" w:hAnsi="Arial" w:cs="Arial"/>
          <w:b/>
          <w:bCs/>
          <w:sz w:val="24"/>
          <w:szCs w:val="24"/>
        </w:rPr>
        <w:t>Attachment 1:</w:t>
      </w:r>
      <w:r w:rsidRPr="4F40ABB4">
        <w:rPr>
          <w:rFonts w:ascii="Arial" w:eastAsia="Arial" w:hAnsi="Arial" w:cs="Arial"/>
          <w:sz w:val="24"/>
          <w:szCs w:val="24"/>
        </w:rPr>
        <w:t xml:space="preserve"> Analysis of Student Transfers from Non-Alternative High Schools to Alternative High Schools with Dashboard Alternative School Status</w:t>
      </w:r>
      <w:r w:rsidR="00533255">
        <w:rPr>
          <w:rFonts w:ascii="Arial" w:eastAsia="Arial" w:hAnsi="Arial" w:cs="Arial"/>
          <w:sz w:val="24"/>
          <w:szCs w:val="24"/>
        </w:rPr>
        <w:t xml:space="preserve"> (</w:t>
      </w:r>
      <w:r w:rsidR="00786870">
        <w:rPr>
          <w:rFonts w:ascii="Arial" w:eastAsia="Arial" w:hAnsi="Arial" w:cs="Arial"/>
          <w:sz w:val="24"/>
          <w:szCs w:val="24"/>
        </w:rPr>
        <w:t>9</w:t>
      </w:r>
      <w:r w:rsidR="00533255">
        <w:rPr>
          <w:rFonts w:ascii="Arial" w:eastAsia="Arial" w:hAnsi="Arial" w:cs="Arial"/>
          <w:sz w:val="24"/>
          <w:szCs w:val="24"/>
        </w:rPr>
        <w:t xml:space="preserve"> Pages)</w:t>
      </w:r>
    </w:p>
    <w:p w14:paraId="29D6B04F" w14:textId="77777777" w:rsidR="00B47306" w:rsidRPr="001171E7" w:rsidRDefault="00B47306" w:rsidP="00B47306">
      <w:pPr>
        <w:pStyle w:val="ListParagraph"/>
        <w:rPr>
          <w:rFonts w:ascii="Arial" w:eastAsia="Arial" w:hAnsi="Arial" w:cs="Arial"/>
        </w:rPr>
      </w:pPr>
      <w:r w:rsidRPr="4F40ABB4">
        <w:rPr>
          <w:rFonts w:ascii="Arial" w:eastAsia="Arial" w:hAnsi="Arial" w:cs="Arial"/>
          <w:sz w:val="24"/>
          <w:szCs w:val="24"/>
        </w:rPr>
        <w:t xml:space="preserve"> </w:t>
      </w:r>
    </w:p>
    <w:p w14:paraId="02EB378F" w14:textId="77777777" w:rsidR="00B47306" w:rsidRPr="000C53D9" w:rsidRDefault="00B47306" w:rsidP="00B47306">
      <w:pPr>
        <w:rPr>
          <w:rFonts w:ascii="Arial" w:eastAsia="Arial" w:hAnsi="Arial" w:cs="Arial"/>
        </w:rPr>
        <w:sectPr w:rsidR="00B47306" w:rsidRPr="000C53D9" w:rsidSect="00FF098A">
          <w:headerReference w:type="default" r:id="rId17"/>
          <w:footerReference w:type="default" r:id="rId18"/>
          <w:headerReference w:type="first" r:id="rId19"/>
          <w:type w:val="continuous"/>
          <w:pgSz w:w="12240" w:h="15840" w:code="1"/>
          <w:pgMar w:top="720" w:right="1440" w:bottom="720" w:left="1440" w:header="720" w:footer="720" w:gutter="0"/>
          <w:pgNumType w:start="1"/>
          <w:cols w:space="720"/>
          <w:docGrid w:linePitch="360"/>
        </w:sectPr>
      </w:pPr>
    </w:p>
    <w:p w14:paraId="7D985487" w14:textId="77777777" w:rsidR="00B47306" w:rsidRDefault="00B47306" w:rsidP="00B47306">
      <w:pPr>
        <w:pStyle w:val="Heading1"/>
        <w:rPr>
          <w:rFonts w:ascii="Arial" w:hAnsi="Arial" w:cs="Arial"/>
          <w:b/>
          <w:color w:val="000000" w:themeColor="text1"/>
          <w:sz w:val="40"/>
          <w:szCs w:val="40"/>
        </w:rPr>
      </w:pPr>
      <w:r w:rsidRPr="000C53D9">
        <w:rPr>
          <w:rFonts w:ascii="Arial" w:hAnsi="Arial" w:cs="Arial"/>
          <w:b/>
          <w:color w:val="000000" w:themeColor="text1"/>
          <w:sz w:val="40"/>
          <w:szCs w:val="40"/>
        </w:rPr>
        <w:lastRenderedPageBreak/>
        <w:t>A</w:t>
      </w:r>
      <w:r>
        <w:rPr>
          <w:rFonts w:ascii="Arial" w:hAnsi="Arial" w:cs="Arial"/>
          <w:b/>
          <w:color w:val="000000" w:themeColor="text1"/>
          <w:sz w:val="40"/>
          <w:szCs w:val="40"/>
        </w:rPr>
        <w:t>ttachment 1</w:t>
      </w:r>
    </w:p>
    <w:p w14:paraId="6A05A809" w14:textId="77777777" w:rsidR="00B47306" w:rsidRPr="000C53D9" w:rsidRDefault="00B47306" w:rsidP="00B47306"/>
    <w:p w14:paraId="5301606C" w14:textId="77777777" w:rsidR="00B47306" w:rsidRPr="000C53D9" w:rsidRDefault="00B47306" w:rsidP="00B47306">
      <w:pPr>
        <w:pStyle w:val="Heading2"/>
        <w:rPr>
          <w:sz w:val="36"/>
          <w:szCs w:val="36"/>
        </w:rPr>
      </w:pPr>
      <w:r w:rsidRPr="000C53D9">
        <w:rPr>
          <w:sz w:val="36"/>
          <w:szCs w:val="36"/>
        </w:rPr>
        <w:t>Analysis of Student Transfers from Non-Alternative High Schools to Alternative High Schools with Dashboard Alternative School Status</w:t>
      </w:r>
    </w:p>
    <w:p w14:paraId="76E29F1A" w14:textId="2075F255" w:rsidR="00B47306" w:rsidRPr="006F4023" w:rsidRDefault="00B47306" w:rsidP="00B47306">
      <w:pPr>
        <w:spacing w:after="240"/>
        <w:rPr>
          <w:rFonts w:ascii="Arial" w:eastAsia="Arial" w:hAnsi="Arial" w:cs="Arial"/>
          <w:color w:val="000000" w:themeColor="text1"/>
          <w:highlight w:val="yellow"/>
        </w:rPr>
      </w:pPr>
      <w:r w:rsidRPr="00F4519D">
        <w:rPr>
          <w:rFonts w:ascii="Arial" w:hAnsi="Arial" w:cs="Arial"/>
        </w:rPr>
        <w:t xml:space="preserve">This </w:t>
      </w:r>
      <w:r w:rsidR="00AC6B06">
        <w:rPr>
          <w:rFonts w:ascii="Arial" w:hAnsi="Arial" w:cs="Arial"/>
        </w:rPr>
        <w:t xml:space="preserve">is the second </w:t>
      </w:r>
      <w:r w:rsidRPr="00F4519D">
        <w:rPr>
          <w:rFonts w:ascii="Arial" w:hAnsi="Arial" w:cs="Arial"/>
        </w:rPr>
        <w:t xml:space="preserve">analysis </w:t>
      </w:r>
      <w:r w:rsidR="00AC6B06">
        <w:rPr>
          <w:rFonts w:ascii="Arial" w:hAnsi="Arial" w:cs="Arial"/>
        </w:rPr>
        <w:t xml:space="preserve">on the </w:t>
      </w:r>
      <w:r w:rsidRPr="00F4519D">
        <w:rPr>
          <w:rFonts w:ascii="Arial" w:hAnsi="Arial" w:cs="Arial"/>
        </w:rPr>
        <w:t>transfer patterns between non-alternative high schools and Dashboard Alternative School Status (DASS) high schools and explores the impact of the DASS graduation rate on school transfer patterns.</w:t>
      </w:r>
      <w:r w:rsidR="00917CD7">
        <w:rPr>
          <w:rFonts w:ascii="Arial" w:hAnsi="Arial" w:cs="Arial"/>
        </w:rPr>
        <w:t xml:space="preserve"> </w:t>
      </w:r>
      <w:r w:rsidR="00917CD7" w:rsidRPr="008F2004">
        <w:rPr>
          <w:rFonts w:ascii="Arial" w:hAnsi="Arial" w:cs="Arial"/>
        </w:rPr>
        <w:t xml:space="preserve">The analyses </w:t>
      </w:r>
      <w:r w:rsidR="00AC6B06" w:rsidRPr="008F2004">
        <w:rPr>
          <w:rFonts w:ascii="Arial" w:hAnsi="Arial" w:cs="Arial"/>
        </w:rPr>
        <w:t xml:space="preserve">provided in this Memorandum </w:t>
      </w:r>
      <w:r w:rsidR="00917CD7" w:rsidRPr="008F2004">
        <w:rPr>
          <w:rFonts w:ascii="Arial" w:hAnsi="Arial" w:cs="Arial"/>
        </w:rPr>
        <w:t xml:space="preserve">are consistent with the </w:t>
      </w:r>
      <w:r w:rsidR="00AC6B06" w:rsidRPr="008F2004">
        <w:rPr>
          <w:rFonts w:ascii="Arial" w:hAnsi="Arial" w:cs="Arial"/>
        </w:rPr>
        <w:t>first</w:t>
      </w:r>
      <w:r w:rsidR="00917CD7" w:rsidRPr="008F2004">
        <w:rPr>
          <w:rFonts w:ascii="Arial" w:hAnsi="Arial" w:cs="Arial"/>
        </w:rPr>
        <w:t xml:space="preserve"> analyses provided in an August 2019 Memorandum</w:t>
      </w:r>
      <w:r w:rsidR="00BB1D31">
        <w:rPr>
          <w:rFonts w:ascii="Arial" w:hAnsi="Arial" w:cs="Arial"/>
        </w:rPr>
        <w:t xml:space="preserve"> </w:t>
      </w:r>
      <w:r w:rsidR="00BB1D31" w:rsidRPr="00533255">
        <w:rPr>
          <w:rStyle w:val="normaltextrun"/>
          <w:rFonts w:ascii="Arial" w:eastAsia="Arial" w:hAnsi="Arial" w:cs="Arial"/>
        </w:rPr>
        <w:t>(</w:t>
      </w:r>
      <w:hyperlink r:id="rId20" w:tooltip="August 2019 SBE memo">
        <w:r w:rsidR="00BB1D31" w:rsidRPr="00533255">
          <w:rPr>
            <w:rStyle w:val="normaltextrun"/>
            <w:rFonts w:ascii="Arial" w:eastAsia="Arial" w:hAnsi="Arial" w:cs="Arial"/>
            <w:color w:val="0000FF"/>
            <w:u w:val="single"/>
          </w:rPr>
          <w:t>https://www.cde.ca.gov/be/pn/im/documents/memo-pptb-amard-aug19item01.docx</w:t>
        </w:r>
      </w:hyperlink>
      <w:r w:rsidR="00BB1D31" w:rsidRPr="00533255">
        <w:rPr>
          <w:rStyle w:val="normaltextrun"/>
          <w:rFonts w:ascii="Arial" w:eastAsia="Arial" w:hAnsi="Arial" w:cs="Arial"/>
        </w:rPr>
        <w:t>)</w:t>
      </w:r>
      <w:r w:rsidR="00917CD7" w:rsidRPr="008F2004">
        <w:rPr>
          <w:rFonts w:ascii="Arial" w:hAnsi="Arial" w:cs="Arial"/>
        </w:rPr>
        <w:t>.</w:t>
      </w:r>
      <w:r w:rsidR="00BB1D31" w:rsidRPr="00BB1D31">
        <w:rPr>
          <w:rFonts w:ascii="Arial" w:eastAsia="Arial" w:hAnsi="Arial" w:cs="Arial"/>
          <w:color w:val="000000" w:themeColor="text1"/>
        </w:rPr>
        <w:t xml:space="preserve"> </w:t>
      </w:r>
      <w:r w:rsidR="005025C0" w:rsidRPr="003567B7">
        <w:rPr>
          <w:rFonts w:ascii="Arial" w:eastAsia="Arial" w:hAnsi="Arial" w:cs="Arial"/>
          <w:color w:val="000000" w:themeColor="text1"/>
        </w:rPr>
        <w:t xml:space="preserve">Because the </w:t>
      </w:r>
      <w:r w:rsidR="001B314A" w:rsidRPr="003567B7">
        <w:rPr>
          <w:rFonts w:ascii="Arial" w:eastAsia="Arial" w:hAnsi="Arial" w:cs="Arial"/>
          <w:color w:val="000000" w:themeColor="text1"/>
        </w:rPr>
        <w:t xml:space="preserve">current </w:t>
      </w:r>
      <w:r w:rsidR="005025C0" w:rsidRPr="003567B7">
        <w:rPr>
          <w:rFonts w:ascii="Arial" w:eastAsia="Arial" w:hAnsi="Arial" w:cs="Arial"/>
          <w:color w:val="000000" w:themeColor="text1"/>
        </w:rPr>
        <w:t>analyses</w:t>
      </w:r>
      <w:r w:rsidR="00BE0B44" w:rsidRPr="003567B7">
        <w:rPr>
          <w:rFonts w:ascii="Arial" w:eastAsia="Arial" w:hAnsi="Arial" w:cs="Arial"/>
          <w:color w:val="000000" w:themeColor="text1"/>
        </w:rPr>
        <w:t xml:space="preserve"> </w:t>
      </w:r>
      <w:r w:rsidR="001F6471" w:rsidRPr="003567B7">
        <w:rPr>
          <w:rFonts w:ascii="Arial" w:eastAsia="Arial" w:hAnsi="Arial" w:cs="Arial"/>
          <w:color w:val="000000" w:themeColor="text1"/>
        </w:rPr>
        <w:t>reveal</w:t>
      </w:r>
      <w:r w:rsidR="001B314A" w:rsidRPr="003567B7">
        <w:rPr>
          <w:rFonts w:ascii="Arial" w:eastAsia="Arial" w:hAnsi="Arial" w:cs="Arial"/>
          <w:color w:val="000000" w:themeColor="text1"/>
        </w:rPr>
        <w:t>ed</w:t>
      </w:r>
      <w:r w:rsidR="00BE0B44" w:rsidRPr="003567B7">
        <w:rPr>
          <w:rFonts w:ascii="Arial" w:eastAsia="Arial" w:hAnsi="Arial" w:cs="Arial"/>
          <w:color w:val="000000" w:themeColor="text1"/>
        </w:rPr>
        <w:t xml:space="preserve"> that the</w:t>
      </w:r>
      <w:r w:rsidR="00BB1D31" w:rsidRPr="003567B7">
        <w:rPr>
          <w:rFonts w:ascii="Arial" w:eastAsia="Arial" w:hAnsi="Arial" w:cs="Arial"/>
          <w:color w:val="000000" w:themeColor="text1"/>
        </w:rPr>
        <w:t xml:space="preserve"> DASS graduation rate</w:t>
      </w:r>
      <w:r w:rsidR="002C2C35" w:rsidRPr="003567B7">
        <w:rPr>
          <w:rFonts w:ascii="Arial" w:eastAsia="Arial" w:hAnsi="Arial" w:cs="Arial"/>
          <w:color w:val="000000" w:themeColor="text1"/>
        </w:rPr>
        <w:t xml:space="preserve"> does </w:t>
      </w:r>
      <w:r w:rsidR="00BB1D31" w:rsidRPr="003567B7">
        <w:rPr>
          <w:rFonts w:ascii="Arial" w:eastAsia="Arial" w:hAnsi="Arial" w:cs="Arial"/>
          <w:color w:val="000000" w:themeColor="text1"/>
        </w:rPr>
        <w:t>not significantly impact student transfers from non-alternative high schools to DASS high schools</w:t>
      </w:r>
      <w:r w:rsidR="005025C0" w:rsidRPr="003567B7">
        <w:rPr>
          <w:rFonts w:ascii="Arial" w:eastAsia="Arial" w:hAnsi="Arial" w:cs="Arial"/>
          <w:color w:val="000000" w:themeColor="text1"/>
        </w:rPr>
        <w:t>, it</w:t>
      </w:r>
      <w:r w:rsidR="00BE0B44" w:rsidRPr="003567B7">
        <w:rPr>
          <w:rFonts w:ascii="Arial" w:eastAsia="Arial" w:hAnsi="Arial" w:cs="Arial"/>
          <w:color w:val="000000" w:themeColor="text1"/>
        </w:rPr>
        <w:t xml:space="preserve"> does not warrant any changes to the calculation of the DASS graduation rate</w:t>
      </w:r>
      <w:r w:rsidR="001B314A" w:rsidRPr="003567B7">
        <w:rPr>
          <w:rFonts w:ascii="Arial" w:eastAsia="Arial" w:hAnsi="Arial" w:cs="Arial"/>
          <w:color w:val="000000" w:themeColor="text1"/>
        </w:rPr>
        <w:t xml:space="preserve"> at this time</w:t>
      </w:r>
      <w:r w:rsidR="00BB1D31" w:rsidRPr="003567B7">
        <w:rPr>
          <w:rFonts w:ascii="Arial" w:eastAsia="Arial" w:hAnsi="Arial" w:cs="Arial"/>
          <w:color w:val="000000" w:themeColor="text1"/>
        </w:rPr>
        <w:t>.</w:t>
      </w:r>
    </w:p>
    <w:p w14:paraId="0FEDCBE0" w14:textId="5D4835E5" w:rsidR="00B47306" w:rsidRPr="00F4519D" w:rsidRDefault="00B47306" w:rsidP="00B47306">
      <w:pPr>
        <w:spacing w:after="240"/>
        <w:rPr>
          <w:rFonts w:ascii="Arial" w:hAnsi="Arial" w:cs="Arial"/>
        </w:rPr>
      </w:pPr>
      <w:r w:rsidRPr="00F4519D">
        <w:rPr>
          <w:rFonts w:ascii="Arial" w:hAnsi="Arial" w:cs="Arial"/>
        </w:rPr>
        <w:t xml:space="preserve">Student-level enrollment data from the California Longitudinal Pupil Achievement Data System (CALPADS) was used to identify student transfers from non-alternative high schools to DASS high schools. Specifically, transfer patterns between the 2017–2018 and 2019–2020 </w:t>
      </w:r>
      <w:r w:rsidR="00697D4B">
        <w:rPr>
          <w:rFonts w:ascii="Arial" w:hAnsi="Arial" w:cs="Arial"/>
        </w:rPr>
        <w:t>school year</w:t>
      </w:r>
      <w:r w:rsidRPr="00F4519D">
        <w:rPr>
          <w:rFonts w:ascii="Arial" w:hAnsi="Arial" w:cs="Arial"/>
        </w:rPr>
        <w:t xml:space="preserve">s were analyzed. The student exits and enrollments in this analysis occurred within the school year windows of July 1, 2017, to June 30, </w:t>
      </w:r>
      <w:proofErr w:type="gramStart"/>
      <w:r w:rsidRPr="00F4519D">
        <w:rPr>
          <w:rFonts w:ascii="Arial" w:hAnsi="Arial" w:cs="Arial"/>
        </w:rPr>
        <w:t xml:space="preserve">2018; </w:t>
      </w:r>
      <w:r w:rsidR="00917CD7">
        <w:rPr>
          <w:rFonts w:ascii="Arial" w:hAnsi="Arial" w:cs="Arial"/>
        </w:rPr>
        <w:t xml:space="preserve"> </w:t>
      </w:r>
      <w:r w:rsidRPr="00F4519D">
        <w:rPr>
          <w:rFonts w:ascii="Arial" w:hAnsi="Arial" w:cs="Arial"/>
        </w:rPr>
        <w:t>July</w:t>
      </w:r>
      <w:proofErr w:type="gramEnd"/>
      <w:r w:rsidRPr="00F4519D">
        <w:rPr>
          <w:rFonts w:ascii="Arial" w:hAnsi="Arial" w:cs="Arial"/>
        </w:rPr>
        <w:t xml:space="preserve"> 1, 2018, to June 30, 2019; and July 1, 2019 to June 30, 2020.</w:t>
      </w:r>
    </w:p>
    <w:p w14:paraId="70EB6039" w14:textId="77777777" w:rsidR="00B47306" w:rsidRPr="00F4519D" w:rsidRDefault="00B47306" w:rsidP="00B47306">
      <w:pPr>
        <w:spacing w:after="240"/>
        <w:rPr>
          <w:rFonts w:ascii="Arial" w:hAnsi="Arial" w:cs="Arial"/>
        </w:rPr>
      </w:pPr>
      <w:r w:rsidRPr="00F4519D">
        <w:rPr>
          <w:rFonts w:ascii="Arial" w:hAnsi="Arial" w:cs="Arial"/>
        </w:rPr>
        <w:t>To calculate the frequency of transfers, students who exited from a non-alternative public high school and sequentially enrolled in a DASS high school were only counted once. If a student had multiple transfers, only the first transfer was captured. This unduplicated count methodology ensures that each student is equally represented in the total transfer count.</w:t>
      </w:r>
    </w:p>
    <w:p w14:paraId="1F97DAA4" w14:textId="1156521F" w:rsidR="00B47306" w:rsidRPr="00F4519D" w:rsidRDefault="00B47306" w:rsidP="00B47306">
      <w:pPr>
        <w:spacing w:after="240"/>
        <w:rPr>
          <w:rFonts w:ascii="Arial" w:hAnsi="Arial" w:cs="Arial"/>
        </w:rPr>
      </w:pPr>
      <w:r w:rsidRPr="00F4519D">
        <w:rPr>
          <w:rFonts w:ascii="Arial" w:hAnsi="Arial" w:cs="Arial"/>
        </w:rPr>
        <w:t>A yearly transfer total, along with monthly totals, was calculated for the 2019</w:t>
      </w:r>
      <w:r w:rsidR="00AC30F7">
        <w:rPr>
          <w:rFonts w:ascii="Arial" w:hAnsi="Arial" w:cs="Arial"/>
        </w:rPr>
        <w:t>–</w:t>
      </w:r>
      <w:r w:rsidRPr="00F4519D">
        <w:rPr>
          <w:rFonts w:ascii="Arial" w:hAnsi="Arial" w:cs="Arial"/>
        </w:rPr>
        <w:t xml:space="preserve">20 </w:t>
      </w:r>
      <w:r w:rsidR="00697D4B">
        <w:rPr>
          <w:rFonts w:ascii="Arial" w:hAnsi="Arial" w:cs="Arial"/>
        </w:rPr>
        <w:t>school year</w:t>
      </w:r>
      <w:r w:rsidRPr="00F4519D">
        <w:rPr>
          <w:rFonts w:ascii="Arial" w:hAnsi="Arial" w:cs="Arial"/>
        </w:rPr>
        <w:t xml:space="preserve"> and compared to the 2017</w:t>
      </w:r>
      <w:r w:rsidR="00AC30F7">
        <w:rPr>
          <w:rFonts w:ascii="Arial" w:hAnsi="Arial" w:cs="Arial"/>
        </w:rPr>
        <w:t>–</w:t>
      </w:r>
      <w:r w:rsidRPr="00F4519D">
        <w:rPr>
          <w:rFonts w:ascii="Arial" w:hAnsi="Arial" w:cs="Arial"/>
        </w:rPr>
        <w:t>18 and 2018</w:t>
      </w:r>
      <w:r w:rsidR="00AC30F7">
        <w:rPr>
          <w:rFonts w:ascii="Arial" w:hAnsi="Arial" w:cs="Arial"/>
        </w:rPr>
        <w:t>–</w:t>
      </w:r>
      <w:r w:rsidRPr="00F4519D">
        <w:rPr>
          <w:rFonts w:ascii="Arial" w:hAnsi="Arial" w:cs="Arial"/>
        </w:rPr>
        <w:t xml:space="preserve">19 data. The month-by-month analysis reveals how transfer counts fluctuate over the course of a </w:t>
      </w:r>
      <w:r w:rsidR="00697D4B">
        <w:rPr>
          <w:rFonts w:ascii="Arial" w:hAnsi="Arial" w:cs="Arial"/>
        </w:rPr>
        <w:t>school year</w:t>
      </w:r>
      <w:r w:rsidRPr="00F4519D">
        <w:rPr>
          <w:rFonts w:ascii="Arial" w:hAnsi="Arial" w:cs="Arial"/>
        </w:rPr>
        <w:t>. The month in which a student transfer occurred was determined by the withdrawal date from the student’s non-alternative public high school.</w:t>
      </w:r>
    </w:p>
    <w:p w14:paraId="5B1A75AC" w14:textId="48DC76C9" w:rsidR="00B47306" w:rsidRPr="00F4519D" w:rsidRDefault="00B47306" w:rsidP="00B47306">
      <w:pPr>
        <w:spacing w:after="240"/>
        <w:rPr>
          <w:rFonts w:ascii="Arial" w:hAnsi="Arial" w:cs="Arial"/>
        </w:rPr>
      </w:pPr>
      <w:r w:rsidRPr="00F4519D">
        <w:rPr>
          <w:rFonts w:ascii="Arial" w:hAnsi="Arial" w:cs="Arial"/>
        </w:rPr>
        <w:t xml:space="preserve">The following questions informed </w:t>
      </w:r>
      <w:r w:rsidR="00533255">
        <w:rPr>
          <w:rFonts w:ascii="Arial" w:hAnsi="Arial" w:cs="Arial"/>
        </w:rPr>
        <w:t>the analysis</w:t>
      </w:r>
      <w:r w:rsidRPr="00F4519D">
        <w:rPr>
          <w:rFonts w:ascii="Arial" w:hAnsi="Arial" w:cs="Arial"/>
        </w:rPr>
        <w:t xml:space="preserve">: </w:t>
      </w:r>
    </w:p>
    <w:p w14:paraId="32DB3FE0" w14:textId="77777777" w:rsidR="00B47306" w:rsidRPr="00F4519D" w:rsidRDefault="00B47306" w:rsidP="00B47306">
      <w:pPr>
        <w:numPr>
          <w:ilvl w:val="0"/>
          <w:numId w:val="35"/>
        </w:numPr>
        <w:spacing w:after="240"/>
        <w:ind w:left="720"/>
        <w:rPr>
          <w:rFonts w:ascii="Arial" w:hAnsi="Arial" w:cs="Arial"/>
        </w:rPr>
      </w:pPr>
      <w:r w:rsidRPr="00F4519D">
        <w:rPr>
          <w:rFonts w:ascii="Arial" w:hAnsi="Arial" w:cs="Arial"/>
        </w:rPr>
        <w:t xml:space="preserve">Was there a substantial increase in student transfers from non-alternative high schools to DASS high schools between the 2017–2018 and 2019–2020 school years? </w:t>
      </w:r>
    </w:p>
    <w:p w14:paraId="75CC584F" w14:textId="77777777" w:rsidR="00B47306" w:rsidRPr="00F4519D" w:rsidRDefault="00B47306" w:rsidP="00B47306">
      <w:pPr>
        <w:numPr>
          <w:ilvl w:val="0"/>
          <w:numId w:val="35"/>
        </w:numPr>
        <w:spacing w:after="240"/>
        <w:ind w:left="720"/>
        <w:rPr>
          <w:rFonts w:ascii="Arial" w:hAnsi="Arial" w:cs="Arial"/>
          <w:szCs w:val="22"/>
        </w:rPr>
      </w:pPr>
      <w:r w:rsidRPr="00F4519D">
        <w:rPr>
          <w:rFonts w:ascii="Arial" w:hAnsi="Arial" w:cs="Arial"/>
          <w:szCs w:val="22"/>
        </w:rPr>
        <w:t xml:space="preserve">During which months did transfers from </w:t>
      </w:r>
      <w:r w:rsidRPr="00F4519D">
        <w:rPr>
          <w:rFonts w:ascii="Arial" w:hAnsi="Arial" w:cs="Arial"/>
        </w:rPr>
        <w:t>non-alternative</w:t>
      </w:r>
      <w:r w:rsidRPr="00F4519D">
        <w:rPr>
          <w:rFonts w:ascii="Arial" w:hAnsi="Arial" w:cs="Arial"/>
          <w:szCs w:val="22"/>
        </w:rPr>
        <w:t xml:space="preserve"> to DASS schools most frequently occur?</w:t>
      </w:r>
    </w:p>
    <w:p w14:paraId="4BB5F4CE" w14:textId="77777777" w:rsidR="00B47306" w:rsidRPr="00F4519D" w:rsidRDefault="00B47306" w:rsidP="00B47306">
      <w:pPr>
        <w:numPr>
          <w:ilvl w:val="0"/>
          <w:numId w:val="35"/>
        </w:numPr>
        <w:spacing w:after="240"/>
        <w:ind w:left="720"/>
        <w:rPr>
          <w:rFonts w:ascii="Arial" w:hAnsi="Arial" w:cs="Arial"/>
          <w:szCs w:val="22"/>
        </w:rPr>
      </w:pPr>
      <w:r w:rsidRPr="00F4519D">
        <w:rPr>
          <w:rFonts w:ascii="Arial" w:hAnsi="Arial" w:cs="Arial"/>
          <w:szCs w:val="22"/>
        </w:rPr>
        <w:lastRenderedPageBreak/>
        <w:t xml:space="preserve">Which student groups most frequently transferred from </w:t>
      </w:r>
      <w:r w:rsidRPr="00F4519D">
        <w:rPr>
          <w:rFonts w:ascii="Arial" w:hAnsi="Arial" w:cs="Arial"/>
        </w:rPr>
        <w:t>non-alternative</w:t>
      </w:r>
      <w:r w:rsidRPr="00F4519D">
        <w:rPr>
          <w:rFonts w:ascii="Arial" w:hAnsi="Arial" w:cs="Arial"/>
          <w:szCs w:val="22"/>
        </w:rPr>
        <w:t xml:space="preserve"> to DASS schools?</w:t>
      </w:r>
    </w:p>
    <w:p w14:paraId="64B25AAE" w14:textId="77777777" w:rsidR="00B47306" w:rsidRPr="00F4519D" w:rsidRDefault="00B47306" w:rsidP="00B47306">
      <w:pPr>
        <w:numPr>
          <w:ilvl w:val="0"/>
          <w:numId w:val="35"/>
        </w:numPr>
        <w:spacing w:after="240"/>
        <w:ind w:left="720"/>
        <w:rPr>
          <w:rFonts w:ascii="Arial" w:hAnsi="Arial" w:cs="Arial"/>
        </w:rPr>
      </w:pPr>
      <w:r w:rsidRPr="00F4519D">
        <w:rPr>
          <w:rFonts w:ascii="Arial" w:hAnsi="Arial" w:cs="Arial"/>
        </w:rPr>
        <w:t>Do transfer patterns from 2017–2018 continue through the 2019–2020 school year?</w:t>
      </w:r>
    </w:p>
    <w:p w14:paraId="67CF6338" w14:textId="703F852B" w:rsidR="00B47306" w:rsidRPr="00BC57AE" w:rsidRDefault="00B47306" w:rsidP="00917CD7">
      <w:pPr>
        <w:pStyle w:val="Heading3"/>
        <w:rPr>
          <w:rFonts w:ascii="Arial" w:hAnsi="Arial" w:cs="Arial"/>
          <w:b/>
          <w:bCs/>
          <w:color w:val="000000" w:themeColor="text1"/>
          <w:sz w:val="32"/>
          <w:szCs w:val="32"/>
        </w:rPr>
      </w:pPr>
      <w:r w:rsidRPr="037E660E">
        <w:rPr>
          <w:rFonts w:ascii="Arial" w:eastAsia="Arial" w:hAnsi="Arial" w:cs="Arial"/>
          <w:b/>
          <w:bCs/>
          <w:color w:val="000000" w:themeColor="text1"/>
          <w:sz w:val="32"/>
          <w:szCs w:val="32"/>
        </w:rPr>
        <w:t xml:space="preserve">Comparison of Transfer Patterns across Three </w:t>
      </w:r>
      <w:r w:rsidR="00697D4B">
        <w:rPr>
          <w:rFonts w:ascii="Arial" w:eastAsia="Arial" w:hAnsi="Arial" w:cs="Arial"/>
          <w:b/>
          <w:bCs/>
          <w:color w:val="000000" w:themeColor="text1"/>
          <w:sz w:val="32"/>
          <w:szCs w:val="32"/>
        </w:rPr>
        <w:t>School year</w:t>
      </w:r>
      <w:r w:rsidRPr="037E660E">
        <w:rPr>
          <w:rFonts w:ascii="Arial" w:eastAsia="Arial" w:hAnsi="Arial" w:cs="Arial"/>
          <w:b/>
          <w:bCs/>
          <w:color w:val="000000" w:themeColor="text1"/>
          <w:sz w:val="32"/>
          <w:szCs w:val="32"/>
        </w:rPr>
        <w:t>s</w:t>
      </w:r>
    </w:p>
    <w:p w14:paraId="0A6959E7" w14:textId="77777777" w:rsidR="00B47306" w:rsidRDefault="00B47306" w:rsidP="00B47306">
      <w:pPr>
        <w:spacing w:line="276" w:lineRule="exact"/>
        <w:jc w:val="center"/>
      </w:pPr>
      <w:r w:rsidRPr="60CEAC29">
        <w:rPr>
          <w:rFonts w:eastAsia="Arial" w:cs="Arial"/>
          <w:b/>
          <w:bCs/>
          <w:color w:val="000000" w:themeColor="text1"/>
        </w:rPr>
        <w:t xml:space="preserve"> </w:t>
      </w:r>
    </w:p>
    <w:p w14:paraId="41F11C13" w14:textId="77777777" w:rsidR="00B47306" w:rsidRPr="00F4519D" w:rsidRDefault="00B47306" w:rsidP="00B47306">
      <w:pPr>
        <w:pStyle w:val="Heading4"/>
        <w:spacing w:after="240"/>
        <w:rPr>
          <w:rFonts w:ascii="Arial" w:eastAsia="Arial" w:hAnsi="Arial" w:cs="Arial"/>
          <w:b/>
          <w:i w:val="0"/>
          <w:color w:val="000000" w:themeColor="text1"/>
          <w:sz w:val="28"/>
          <w:szCs w:val="28"/>
        </w:rPr>
      </w:pPr>
      <w:r>
        <w:rPr>
          <w:rFonts w:ascii="Arial" w:eastAsia="Arial" w:hAnsi="Arial" w:cs="Arial"/>
          <w:b/>
          <w:i w:val="0"/>
          <w:color w:val="000000" w:themeColor="text1"/>
          <w:sz w:val="28"/>
          <w:szCs w:val="28"/>
        </w:rPr>
        <w:t>Monthly Transfer Patterns</w:t>
      </w:r>
    </w:p>
    <w:p w14:paraId="35F0E273" w14:textId="77777777" w:rsidR="00B47306" w:rsidRPr="00F4519D" w:rsidRDefault="00B47306" w:rsidP="00B47306">
      <w:pPr>
        <w:spacing w:after="240"/>
        <w:rPr>
          <w:rFonts w:ascii="Arial" w:hAnsi="Arial" w:cs="Arial"/>
        </w:rPr>
      </w:pPr>
      <w:r w:rsidRPr="00F4519D">
        <w:rPr>
          <w:rFonts w:ascii="Arial" w:eastAsia="Arial" w:hAnsi="Arial" w:cs="Arial"/>
        </w:rPr>
        <w:t xml:space="preserve">The first question that we explored </w:t>
      </w:r>
      <w:r w:rsidRPr="00F4519D">
        <w:rPr>
          <w:rFonts w:ascii="Arial" w:hAnsi="Arial" w:cs="Arial"/>
        </w:rPr>
        <w:t>– Was there a substantial increase in student transfers from non-alternative high schools to DASS high schools between the 2017–2018 and 2019–2020 school years? – is answered in Figure 1, below.</w:t>
      </w:r>
    </w:p>
    <w:p w14:paraId="4E221D00" w14:textId="77777777" w:rsidR="00B47306" w:rsidRPr="00F4519D" w:rsidRDefault="00B47306" w:rsidP="00B47306">
      <w:pPr>
        <w:pStyle w:val="Heading5"/>
        <w:rPr>
          <w:rFonts w:ascii="Arial" w:eastAsia="Arial" w:hAnsi="Arial" w:cs="Arial"/>
          <w:b/>
          <w:i/>
          <w:color w:val="000000" w:themeColor="text1"/>
        </w:rPr>
      </w:pPr>
      <w:r w:rsidRPr="00F4519D">
        <w:rPr>
          <w:rFonts w:ascii="Arial" w:eastAsia="Arial" w:hAnsi="Arial" w:cs="Arial"/>
          <w:b/>
          <w:i/>
          <w:color w:val="000000" w:themeColor="text1"/>
        </w:rPr>
        <w:t>Figure 1. Month-by-Month Transfer Totals across 2017–18, 2018–19, and 2019–20</w:t>
      </w:r>
    </w:p>
    <w:p w14:paraId="5A39BBE3" w14:textId="77777777" w:rsidR="00B47306" w:rsidRPr="00BC57AE" w:rsidRDefault="00B47306" w:rsidP="00B47306">
      <w:pPr>
        <w:rPr>
          <w:rFonts w:eastAsia="Arial"/>
        </w:rPr>
      </w:pPr>
    </w:p>
    <w:p w14:paraId="41C8F396" w14:textId="29F386A6" w:rsidR="00B47306" w:rsidRDefault="00B47306" w:rsidP="00B47306"/>
    <w:p w14:paraId="187CBD9F" w14:textId="49A967E8" w:rsidR="00B63F5A" w:rsidRDefault="00B63F5A" w:rsidP="00B47306">
      <w:r>
        <w:rPr>
          <w:noProof/>
        </w:rPr>
        <w:drawing>
          <wp:inline distT="0" distB="0" distL="0" distR="0" wp14:anchorId="0303FA70" wp14:editId="678775B5">
            <wp:extent cx="5804198" cy="3505380"/>
            <wp:effectExtent l="0" t="0" r="6350" b="0"/>
            <wp:docPr id="1" name="Picture 1" descr="This figure reflects the number of transfers that occurred between 2017-18 to 2019-20  between non-DASS to DASS sch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04198" cy="3505380"/>
                    </a:xfrm>
                    <a:prstGeom prst="rect">
                      <a:avLst/>
                    </a:prstGeom>
                  </pic:spPr>
                </pic:pic>
              </a:graphicData>
            </a:graphic>
          </wp:inline>
        </w:drawing>
      </w:r>
    </w:p>
    <w:p w14:paraId="72A3D3EC" w14:textId="77777777" w:rsidR="00B47306" w:rsidRDefault="00B47306" w:rsidP="00B47306">
      <w:pPr>
        <w:rPr>
          <w:rFonts w:eastAsia="Arial" w:cs="Arial"/>
          <w:b/>
          <w:bCs/>
          <w:color w:val="000000" w:themeColor="text1"/>
        </w:rPr>
      </w:pPr>
    </w:p>
    <w:p w14:paraId="1EFDD54E" w14:textId="77777777" w:rsidR="00B47306" w:rsidRPr="00F4519D" w:rsidRDefault="00B47306" w:rsidP="00B47306">
      <w:pPr>
        <w:pStyle w:val="Heading5"/>
        <w:rPr>
          <w:rFonts w:ascii="Arial" w:eastAsia="Arial" w:hAnsi="Arial" w:cs="Arial"/>
          <w:b/>
          <w:i/>
          <w:color w:val="000000" w:themeColor="text1"/>
        </w:rPr>
      </w:pPr>
      <w:r w:rsidRPr="00F4519D">
        <w:rPr>
          <w:rFonts w:ascii="Arial" w:eastAsia="Arial" w:hAnsi="Arial" w:cs="Arial"/>
          <w:b/>
          <w:i/>
          <w:color w:val="000000" w:themeColor="text1"/>
        </w:rPr>
        <w:t>Summary of Month-to-Month Transfer Totals</w:t>
      </w:r>
    </w:p>
    <w:p w14:paraId="0E27B00A" w14:textId="77777777" w:rsidR="00B47306" w:rsidRDefault="00B47306" w:rsidP="00B47306">
      <w:pPr>
        <w:rPr>
          <w:rFonts w:eastAsia="Arial" w:cs="Arial"/>
          <w:color w:val="000000" w:themeColor="text1"/>
        </w:rPr>
      </w:pPr>
    </w:p>
    <w:p w14:paraId="60061E4C" w14:textId="11BCEA85" w:rsidR="00B47306" w:rsidRPr="00533255" w:rsidRDefault="00B47306" w:rsidP="00B47306">
      <w:pPr>
        <w:rPr>
          <w:rFonts w:ascii="Arial" w:hAnsi="Arial" w:cs="Arial"/>
        </w:rPr>
      </w:pPr>
      <w:r w:rsidRPr="00F4519D">
        <w:rPr>
          <w:rFonts w:ascii="Arial" w:eastAsia="Arial" w:hAnsi="Arial" w:cs="Arial"/>
          <w:color w:val="000000" w:themeColor="text1"/>
        </w:rPr>
        <w:t>As Figure 1 shows, the 2019</w:t>
      </w:r>
      <w:r w:rsidRPr="00F4519D">
        <w:rPr>
          <w:rFonts w:ascii="Arial" w:hAnsi="Arial" w:cs="Arial"/>
        </w:rPr>
        <w:t>–</w:t>
      </w:r>
      <w:r w:rsidRPr="00F4519D">
        <w:rPr>
          <w:rFonts w:ascii="Arial" w:eastAsia="Arial" w:hAnsi="Arial" w:cs="Arial"/>
          <w:color w:val="000000" w:themeColor="text1"/>
        </w:rPr>
        <w:t>20 transfer patterns from July through February remain fairly consistent with those from the prior two years. However, beginning in March 2020, there is a steep decline in transfer counts. This is likely due to the C</w:t>
      </w:r>
      <w:r w:rsidR="004E3D3F">
        <w:rPr>
          <w:rFonts w:ascii="Arial" w:eastAsia="Arial" w:hAnsi="Arial" w:cs="Arial"/>
          <w:color w:val="000000" w:themeColor="text1"/>
        </w:rPr>
        <w:t>OVID-</w:t>
      </w:r>
      <w:r w:rsidRPr="00F4519D">
        <w:rPr>
          <w:rFonts w:ascii="Arial" w:eastAsia="Arial" w:hAnsi="Arial" w:cs="Arial"/>
          <w:color w:val="000000" w:themeColor="text1"/>
        </w:rPr>
        <w:t>19 stay-at-home order issued by Governor Gavin Newsom on March 19, 2020</w:t>
      </w:r>
      <w:r w:rsidR="00AC30F7">
        <w:rPr>
          <w:rFonts w:ascii="Arial" w:eastAsia="Arial" w:hAnsi="Arial" w:cs="Arial"/>
          <w:color w:val="000000" w:themeColor="text1"/>
        </w:rPr>
        <w:t>,</w:t>
      </w:r>
      <w:r w:rsidRPr="00F4519D">
        <w:rPr>
          <w:rFonts w:ascii="Arial" w:eastAsia="Arial" w:hAnsi="Arial" w:cs="Arial"/>
          <w:color w:val="000000" w:themeColor="text1"/>
        </w:rPr>
        <w:t xml:space="preserve"> and the wave of </w:t>
      </w:r>
      <w:r w:rsidRPr="00F4519D">
        <w:rPr>
          <w:rFonts w:ascii="Arial" w:eastAsia="Arial" w:hAnsi="Arial" w:cs="Arial"/>
          <w:color w:val="000000" w:themeColor="text1"/>
        </w:rPr>
        <w:lastRenderedPageBreak/>
        <w:t xml:space="preserve">school closures that followed. </w:t>
      </w:r>
      <w:r w:rsidRPr="00F4519D">
        <w:rPr>
          <w:rFonts w:ascii="Arial" w:hAnsi="Arial" w:cs="Arial"/>
        </w:rPr>
        <w:t>Table 1 examines the months in which transfers from non-alternative to DASS schools most frequently occurred.</w:t>
      </w:r>
    </w:p>
    <w:p w14:paraId="5FEFA3A4" w14:textId="0F167299" w:rsidR="00533255" w:rsidRDefault="00533255">
      <w:pPr>
        <w:rPr>
          <w:rFonts w:ascii="Arial" w:eastAsia="Arial" w:hAnsi="Arial" w:cs="Arial"/>
          <w:b/>
          <w:color w:val="000000" w:themeColor="text1"/>
        </w:rPr>
      </w:pPr>
    </w:p>
    <w:p w14:paraId="2A61D866" w14:textId="4CC5EBB0" w:rsidR="00B47306" w:rsidRPr="00F4519D" w:rsidRDefault="00B47306" w:rsidP="00B47306">
      <w:pPr>
        <w:pStyle w:val="Heading5"/>
        <w:spacing w:after="240"/>
        <w:rPr>
          <w:rFonts w:ascii="Arial" w:eastAsia="Arial" w:hAnsi="Arial" w:cs="Arial"/>
          <w:b/>
          <w:color w:val="000000" w:themeColor="text1"/>
        </w:rPr>
      </w:pPr>
      <w:r w:rsidRPr="00F4519D">
        <w:rPr>
          <w:rFonts w:ascii="Arial" w:eastAsia="Arial" w:hAnsi="Arial" w:cs="Arial"/>
          <w:b/>
          <w:color w:val="000000" w:themeColor="text1"/>
        </w:rPr>
        <w:t>Table 1. Difference and Percent Change of Transfer Totals</w:t>
      </w:r>
      <w:r>
        <w:rPr>
          <w:rFonts w:ascii="Arial" w:eastAsia="Arial" w:hAnsi="Arial" w:cs="Arial"/>
          <w:b/>
          <w:color w:val="000000" w:themeColor="text1"/>
        </w:rPr>
        <w:t xml:space="preserve"> </w:t>
      </w:r>
    </w:p>
    <w:tbl>
      <w:tblPr>
        <w:tblStyle w:val="TableGrid3"/>
        <w:tblW w:w="9361" w:type="dxa"/>
        <w:tblLayout w:type="fixed"/>
        <w:tblLook w:val="06A0" w:firstRow="1" w:lastRow="0" w:firstColumn="1" w:lastColumn="0" w:noHBand="1" w:noVBand="1"/>
      </w:tblPr>
      <w:tblGrid>
        <w:gridCol w:w="1525"/>
        <w:gridCol w:w="1440"/>
        <w:gridCol w:w="1800"/>
        <w:gridCol w:w="1666"/>
        <w:gridCol w:w="1465"/>
        <w:gridCol w:w="1465"/>
      </w:tblGrid>
      <w:tr w:rsidR="00B47306" w:rsidRPr="00AC30F7" w14:paraId="29BCFD21" w14:textId="77777777" w:rsidTr="00D11856">
        <w:trPr>
          <w:trHeight w:val="675"/>
          <w:tblHeader/>
        </w:trPr>
        <w:tc>
          <w:tcPr>
            <w:tcW w:w="1525" w:type="dxa"/>
            <w:shd w:val="clear" w:color="auto" w:fill="D9D9D9" w:themeFill="background1" w:themeFillShade="D9"/>
            <w:vAlign w:val="center"/>
          </w:tcPr>
          <w:p w14:paraId="401F8812" w14:textId="77777777" w:rsidR="00B47306" w:rsidRPr="005D112D" w:rsidRDefault="00B47306" w:rsidP="00FF098A">
            <w:pPr>
              <w:jc w:val="center"/>
              <w:rPr>
                <w:rFonts w:ascii="Arial" w:eastAsia="Arial" w:hAnsi="Arial" w:cs="Arial"/>
                <w:b/>
                <w:bCs/>
                <w:sz w:val="24"/>
                <w:szCs w:val="24"/>
              </w:rPr>
            </w:pPr>
            <w:r w:rsidRPr="00AC30F7">
              <w:rPr>
                <w:rFonts w:ascii="Arial" w:eastAsia="Arial" w:hAnsi="Arial" w:cs="Arial"/>
                <w:b/>
                <w:bCs/>
              </w:rPr>
              <w:t>Month</w:t>
            </w:r>
          </w:p>
        </w:tc>
        <w:tc>
          <w:tcPr>
            <w:tcW w:w="1440" w:type="dxa"/>
            <w:shd w:val="clear" w:color="auto" w:fill="D9D9D9" w:themeFill="background1" w:themeFillShade="D9"/>
            <w:vAlign w:val="center"/>
          </w:tcPr>
          <w:p w14:paraId="069C6609" w14:textId="77777777" w:rsidR="00B47306" w:rsidRPr="005D112D" w:rsidRDefault="00B47306" w:rsidP="00FF098A">
            <w:pPr>
              <w:jc w:val="center"/>
              <w:rPr>
                <w:rFonts w:ascii="Arial" w:eastAsia="Arial" w:hAnsi="Arial" w:cs="Arial"/>
                <w:b/>
                <w:bCs/>
                <w:sz w:val="24"/>
                <w:szCs w:val="24"/>
              </w:rPr>
            </w:pPr>
            <w:r w:rsidRPr="00AC30F7">
              <w:rPr>
                <w:rFonts w:ascii="Arial" w:eastAsia="Arial" w:hAnsi="Arial" w:cs="Arial"/>
                <w:b/>
                <w:bCs/>
              </w:rPr>
              <w:t>2017–18 Counts</w:t>
            </w:r>
          </w:p>
        </w:tc>
        <w:tc>
          <w:tcPr>
            <w:tcW w:w="1800" w:type="dxa"/>
            <w:shd w:val="clear" w:color="auto" w:fill="D9D9D9" w:themeFill="background1" w:themeFillShade="D9"/>
            <w:vAlign w:val="center"/>
          </w:tcPr>
          <w:p w14:paraId="12BD497C" w14:textId="77777777" w:rsidR="00533255" w:rsidRPr="005D112D" w:rsidRDefault="00B47306" w:rsidP="00FF098A">
            <w:pPr>
              <w:jc w:val="center"/>
              <w:rPr>
                <w:rFonts w:ascii="Arial" w:eastAsia="Arial" w:hAnsi="Arial" w:cs="Arial"/>
                <w:b/>
                <w:bCs/>
                <w:sz w:val="24"/>
                <w:szCs w:val="24"/>
              </w:rPr>
            </w:pPr>
            <w:r w:rsidRPr="00AC30F7">
              <w:rPr>
                <w:rFonts w:ascii="Arial" w:eastAsia="Arial" w:hAnsi="Arial" w:cs="Arial"/>
                <w:b/>
                <w:bCs/>
              </w:rPr>
              <w:t xml:space="preserve">2018–19 </w:t>
            </w:r>
          </w:p>
          <w:p w14:paraId="3FFA1F7E" w14:textId="703A96EF" w:rsidR="00B47306" w:rsidRPr="005D112D" w:rsidRDefault="00B47306" w:rsidP="00FF098A">
            <w:pPr>
              <w:jc w:val="center"/>
              <w:rPr>
                <w:rFonts w:ascii="Arial" w:eastAsia="Arial" w:hAnsi="Arial" w:cs="Arial"/>
                <w:b/>
                <w:bCs/>
                <w:sz w:val="24"/>
                <w:szCs w:val="24"/>
              </w:rPr>
            </w:pPr>
            <w:r w:rsidRPr="00AC30F7">
              <w:rPr>
                <w:rFonts w:ascii="Arial" w:eastAsia="Arial" w:hAnsi="Arial" w:cs="Arial"/>
                <w:b/>
                <w:bCs/>
              </w:rPr>
              <w:t>Counts</w:t>
            </w:r>
          </w:p>
        </w:tc>
        <w:tc>
          <w:tcPr>
            <w:tcW w:w="1666" w:type="dxa"/>
            <w:shd w:val="clear" w:color="auto" w:fill="D9D9D9" w:themeFill="background1" w:themeFillShade="D9"/>
          </w:tcPr>
          <w:p w14:paraId="28DAA42A" w14:textId="77777777" w:rsidR="00AC30F7" w:rsidRPr="005D112D" w:rsidRDefault="00AC30F7" w:rsidP="00FF098A">
            <w:pPr>
              <w:jc w:val="center"/>
              <w:rPr>
                <w:rFonts w:ascii="Arial" w:eastAsia="Arial" w:hAnsi="Arial" w:cs="Arial"/>
                <w:b/>
                <w:bCs/>
                <w:sz w:val="24"/>
                <w:szCs w:val="24"/>
              </w:rPr>
            </w:pPr>
          </w:p>
          <w:p w14:paraId="08B10856" w14:textId="51E82E26" w:rsidR="00533255" w:rsidRPr="005D112D" w:rsidRDefault="00B47306" w:rsidP="00FF098A">
            <w:pPr>
              <w:jc w:val="center"/>
              <w:rPr>
                <w:rFonts w:ascii="Arial" w:eastAsia="Arial" w:hAnsi="Arial" w:cs="Arial"/>
                <w:b/>
                <w:bCs/>
                <w:sz w:val="24"/>
                <w:szCs w:val="24"/>
              </w:rPr>
            </w:pPr>
            <w:r w:rsidRPr="00AC30F7">
              <w:rPr>
                <w:rFonts w:ascii="Arial" w:eastAsia="Arial" w:hAnsi="Arial" w:cs="Arial"/>
                <w:b/>
                <w:bCs/>
              </w:rPr>
              <w:t>2019</w:t>
            </w:r>
            <w:r w:rsidR="009C500C" w:rsidRPr="00AC30F7">
              <w:rPr>
                <w:rFonts w:ascii="Arial" w:eastAsia="Arial" w:hAnsi="Arial" w:cs="Arial"/>
                <w:b/>
                <w:bCs/>
              </w:rPr>
              <w:t>–</w:t>
            </w:r>
            <w:r w:rsidRPr="00AC30F7">
              <w:rPr>
                <w:rFonts w:ascii="Arial" w:eastAsia="Arial" w:hAnsi="Arial" w:cs="Arial"/>
                <w:b/>
                <w:bCs/>
              </w:rPr>
              <w:t xml:space="preserve">20 </w:t>
            </w:r>
          </w:p>
          <w:p w14:paraId="65264C3E" w14:textId="02B8DADD" w:rsidR="00B47306" w:rsidRPr="005D112D" w:rsidRDefault="00B47306" w:rsidP="00FF098A">
            <w:pPr>
              <w:jc w:val="center"/>
              <w:rPr>
                <w:rFonts w:ascii="Arial" w:eastAsia="Arial" w:hAnsi="Arial" w:cs="Arial"/>
                <w:b/>
                <w:bCs/>
                <w:sz w:val="24"/>
                <w:szCs w:val="24"/>
              </w:rPr>
            </w:pPr>
            <w:r w:rsidRPr="00AC30F7">
              <w:rPr>
                <w:rFonts w:ascii="Arial" w:eastAsia="Arial" w:hAnsi="Arial" w:cs="Arial"/>
                <w:b/>
                <w:bCs/>
              </w:rPr>
              <w:t>Counts</w:t>
            </w:r>
          </w:p>
        </w:tc>
        <w:tc>
          <w:tcPr>
            <w:tcW w:w="1465" w:type="dxa"/>
            <w:shd w:val="clear" w:color="auto" w:fill="D9D9D9" w:themeFill="background1" w:themeFillShade="D9"/>
            <w:vAlign w:val="center"/>
          </w:tcPr>
          <w:p w14:paraId="60DCD38D" w14:textId="64067DB4" w:rsidR="00B47306" w:rsidRPr="005D112D" w:rsidRDefault="00B47306" w:rsidP="00FF098A">
            <w:pPr>
              <w:jc w:val="center"/>
              <w:rPr>
                <w:rFonts w:ascii="Arial" w:eastAsia="Arial" w:hAnsi="Arial" w:cs="Arial"/>
                <w:b/>
                <w:bCs/>
                <w:sz w:val="24"/>
                <w:szCs w:val="24"/>
              </w:rPr>
            </w:pPr>
            <w:r w:rsidRPr="00AC30F7">
              <w:rPr>
                <w:rFonts w:ascii="Arial" w:eastAsia="Arial" w:hAnsi="Arial" w:cs="Arial"/>
                <w:b/>
                <w:bCs/>
              </w:rPr>
              <w:t>Difference 2017</w:t>
            </w:r>
            <w:r w:rsidR="009C500C" w:rsidRPr="00AC30F7">
              <w:rPr>
                <w:rFonts w:ascii="Arial" w:eastAsia="Arial" w:hAnsi="Arial" w:cs="Arial"/>
                <w:b/>
                <w:bCs/>
              </w:rPr>
              <w:t>–</w:t>
            </w:r>
            <w:r w:rsidRPr="00AC30F7">
              <w:rPr>
                <w:rFonts w:ascii="Arial" w:eastAsia="Arial" w:hAnsi="Arial" w:cs="Arial"/>
                <w:b/>
                <w:bCs/>
              </w:rPr>
              <w:t>18 to 2019</w:t>
            </w:r>
            <w:r w:rsidR="009C500C" w:rsidRPr="00AC30F7">
              <w:rPr>
                <w:rFonts w:ascii="Arial" w:eastAsia="Arial" w:hAnsi="Arial" w:cs="Arial"/>
                <w:b/>
                <w:bCs/>
              </w:rPr>
              <w:t>–</w:t>
            </w:r>
            <w:r w:rsidRPr="00AC30F7">
              <w:rPr>
                <w:rFonts w:ascii="Arial" w:eastAsia="Arial" w:hAnsi="Arial" w:cs="Arial"/>
                <w:b/>
                <w:bCs/>
              </w:rPr>
              <w:t>20</w:t>
            </w:r>
          </w:p>
        </w:tc>
        <w:tc>
          <w:tcPr>
            <w:tcW w:w="1465" w:type="dxa"/>
            <w:shd w:val="clear" w:color="auto" w:fill="D9D9D9" w:themeFill="background1" w:themeFillShade="D9"/>
            <w:vAlign w:val="center"/>
          </w:tcPr>
          <w:p w14:paraId="3416021C" w14:textId="77777777" w:rsidR="00B47306" w:rsidRPr="005D112D" w:rsidRDefault="00B47306" w:rsidP="00FF098A">
            <w:pPr>
              <w:jc w:val="center"/>
              <w:rPr>
                <w:rFonts w:ascii="Arial" w:eastAsia="Arial" w:hAnsi="Arial" w:cs="Arial"/>
                <w:b/>
                <w:bCs/>
                <w:sz w:val="24"/>
                <w:szCs w:val="24"/>
              </w:rPr>
            </w:pPr>
            <w:r w:rsidRPr="00AC30F7">
              <w:rPr>
                <w:rFonts w:ascii="Arial" w:eastAsia="Arial" w:hAnsi="Arial" w:cs="Arial"/>
                <w:b/>
                <w:bCs/>
              </w:rPr>
              <w:t>Percent Change</w:t>
            </w:r>
          </w:p>
          <w:p w14:paraId="2AD7F8CC" w14:textId="788B31BD" w:rsidR="00B47306" w:rsidRPr="004B3B6B" w:rsidRDefault="00B47306" w:rsidP="00FF098A">
            <w:pPr>
              <w:jc w:val="center"/>
              <w:rPr>
                <w:rFonts w:ascii="Arial" w:eastAsia="Arial" w:hAnsi="Arial" w:cs="Arial"/>
                <w:b/>
                <w:bCs/>
                <w:sz w:val="24"/>
                <w:szCs w:val="24"/>
              </w:rPr>
            </w:pPr>
            <w:r w:rsidRPr="00AC30F7">
              <w:rPr>
                <w:rFonts w:ascii="Arial" w:eastAsia="Arial" w:hAnsi="Arial" w:cs="Arial"/>
                <w:b/>
                <w:bCs/>
              </w:rPr>
              <w:t>2017</w:t>
            </w:r>
            <w:r w:rsidR="009C500C" w:rsidRPr="00AC30F7">
              <w:rPr>
                <w:rFonts w:ascii="Arial" w:eastAsia="Arial" w:hAnsi="Arial" w:cs="Arial"/>
                <w:b/>
                <w:bCs/>
              </w:rPr>
              <w:t>–</w:t>
            </w:r>
            <w:r w:rsidRPr="00AC30F7">
              <w:rPr>
                <w:rFonts w:ascii="Arial" w:eastAsia="Arial" w:hAnsi="Arial" w:cs="Arial"/>
                <w:b/>
                <w:bCs/>
              </w:rPr>
              <w:t>18 to 2019-20</w:t>
            </w:r>
          </w:p>
        </w:tc>
      </w:tr>
      <w:tr w:rsidR="00B47306" w:rsidRPr="00AC30F7" w14:paraId="75F3C651" w14:textId="77777777" w:rsidTr="004B3B6B">
        <w:trPr>
          <w:trHeight w:val="345"/>
        </w:trPr>
        <w:tc>
          <w:tcPr>
            <w:tcW w:w="1525" w:type="dxa"/>
            <w:vAlign w:val="center"/>
          </w:tcPr>
          <w:p w14:paraId="2B6B7341" w14:textId="77777777" w:rsidR="00B47306" w:rsidRPr="005D112D" w:rsidRDefault="00B47306" w:rsidP="00FF098A">
            <w:pPr>
              <w:jc w:val="center"/>
              <w:rPr>
                <w:rFonts w:ascii="Arial" w:eastAsia="Arial" w:hAnsi="Arial" w:cs="Arial"/>
                <w:sz w:val="24"/>
                <w:szCs w:val="24"/>
              </w:rPr>
            </w:pPr>
            <w:r w:rsidRPr="00AC30F7">
              <w:rPr>
                <w:rFonts w:ascii="Arial" w:eastAsia="Arial" w:hAnsi="Arial" w:cs="Arial"/>
              </w:rPr>
              <w:t>July</w:t>
            </w:r>
          </w:p>
        </w:tc>
        <w:tc>
          <w:tcPr>
            <w:tcW w:w="1440" w:type="dxa"/>
            <w:vAlign w:val="center"/>
          </w:tcPr>
          <w:p w14:paraId="66710ED8"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190</w:t>
            </w:r>
          </w:p>
        </w:tc>
        <w:tc>
          <w:tcPr>
            <w:tcW w:w="1800" w:type="dxa"/>
            <w:vAlign w:val="center"/>
          </w:tcPr>
          <w:p w14:paraId="144EC99B"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246</w:t>
            </w:r>
          </w:p>
        </w:tc>
        <w:tc>
          <w:tcPr>
            <w:tcW w:w="1666" w:type="dxa"/>
          </w:tcPr>
          <w:p w14:paraId="6464CB4F" w14:textId="77777777" w:rsidR="00B47306" w:rsidRPr="005D112D" w:rsidRDefault="00B47306" w:rsidP="00FF098A">
            <w:pPr>
              <w:jc w:val="center"/>
              <w:rPr>
                <w:rFonts w:ascii="Arial" w:eastAsia="Arial" w:hAnsi="Arial" w:cs="Arial"/>
                <w:sz w:val="24"/>
                <w:szCs w:val="24"/>
              </w:rPr>
            </w:pPr>
            <w:r w:rsidRPr="00AC30F7">
              <w:rPr>
                <w:rFonts w:ascii="Arial" w:eastAsia="Arial" w:hAnsi="Arial" w:cs="Arial"/>
              </w:rPr>
              <w:t>304</w:t>
            </w:r>
          </w:p>
        </w:tc>
        <w:tc>
          <w:tcPr>
            <w:tcW w:w="1465" w:type="dxa"/>
            <w:vAlign w:val="center"/>
          </w:tcPr>
          <w:p w14:paraId="04ACAAC3" w14:textId="77777777" w:rsidR="00B47306" w:rsidRPr="005D112D" w:rsidRDefault="00B47306" w:rsidP="00FF098A">
            <w:pPr>
              <w:jc w:val="center"/>
              <w:rPr>
                <w:rFonts w:ascii="Arial" w:eastAsia="Arial" w:hAnsi="Arial" w:cs="Arial"/>
                <w:sz w:val="24"/>
                <w:szCs w:val="24"/>
              </w:rPr>
            </w:pPr>
            <w:r w:rsidRPr="00AC30F7">
              <w:rPr>
                <w:rFonts w:ascii="Arial" w:eastAsia="Arial" w:hAnsi="Arial" w:cs="Arial"/>
              </w:rPr>
              <w:t>+114</w:t>
            </w:r>
          </w:p>
        </w:tc>
        <w:tc>
          <w:tcPr>
            <w:tcW w:w="1465" w:type="dxa"/>
            <w:vAlign w:val="center"/>
          </w:tcPr>
          <w:p w14:paraId="386F2CE9"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+60.0%</w:t>
            </w:r>
          </w:p>
        </w:tc>
      </w:tr>
      <w:tr w:rsidR="00B47306" w:rsidRPr="00AC30F7" w14:paraId="37E7A7FB" w14:textId="77777777" w:rsidTr="004B3B6B">
        <w:trPr>
          <w:trHeight w:val="345"/>
        </w:trPr>
        <w:tc>
          <w:tcPr>
            <w:tcW w:w="1525" w:type="dxa"/>
            <w:vAlign w:val="center"/>
          </w:tcPr>
          <w:p w14:paraId="2F604E88"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Aug</w:t>
            </w:r>
          </w:p>
        </w:tc>
        <w:tc>
          <w:tcPr>
            <w:tcW w:w="1440" w:type="dxa"/>
            <w:vAlign w:val="center"/>
          </w:tcPr>
          <w:p w14:paraId="07F3F798" w14:textId="77777777" w:rsidR="00B47306" w:rsidRPr="005D112D" w:rsidRDefault="00B47306" w:rsidP="00FF098A">
            <w:pPr>
              <w:jc w:val="center"/>
              <w:rPr>
                <w:rFonts w:ascii="Arial" w:eastAsia="Arial" w:hAnsi="Arial" w:cs="Arial"/>
                <w:sz w:val="24"/>
                <w:szCs w:val="24"/>
              </w:rPr>
            </w:pPr>
            <w:r w:rsidRPr="00AC30F7">
              <w:rPr>
                <w:rFonts w:ascii="Arial" w:eastAsia="Arial" w:hAnsi="Arial" w:cs="Arial"/>
              </w:rPr>
              <w:t>4,180</w:t>
            </w:r>
          </w:p>
        </w:tc>
        <w:tc>
          <w:tcPr>
            <w:tcW w:w="1800" w:type="dxa"/>
            <w:vAlign w:val="center"/>
          </w:tcPr>
          <w:p w14:paraId="64939219"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4,888</w:t>
            </w:r>
          </w:p>
        </w:tc>
        <w:tc>
          <w:tcPr>
            <w:tcW w:w="1666" w:type="dxa"/>
          </w:tcPr>
          <w:p w14:paraId="66CE6A5B" w14:textId="77777777" w:rsidR="00B47306" w:rsidRPr="005D112D" w:rsidRDefault="00B47306" w:rsidP="00FF098A">
            <w:pPr>
              <w:jc w:val="center"/>
              <w:rPr>
                <w:rFonts w:ascii="Arial" w:eastAsia="Arial" w:hAnsi="Arial" w:cs="Arial"/>
                <w:sz w:val="24"/>
                <w:szCs w:val="24"/>
              </w:rPr>
            </w:pPr>
            <w:r w:rsidRPr="00AC30F7">
              <w:rPr>
                <w:rFonts w:ascii="Arial" w:eastAsia="Arial" w:hAnsi="Arial" w:cs="Arial"/>
              </w:rPr>
              <w:t>4,163</w:t>
            </w:r>
          </w:p>
        </w:tc>
        <w:tc>
          <w:tcPr>
            <w:tcW w:w="1465" w:type="dxa"/>
            <w:vAlign w:val="center"/>
          </w:tcPr>
          <w:p w14:paraId="106C0672" w14:textId="77777777" w:rsidR="00B47306" w:rsidRPr="005D112D" w:rsidRDefault="00B47306" w:rsidP="00FF098A">
            <w:pPr>
              <w:jc w:val="center"/>
              <w:rPr>
                <w:rFonts w:ascii="Arial" w:eastAsia="Arial" w:hAnsi="Arial" w:cs="Arial"/>
                <w:sz w:val="24"/>
                <w:szCs w:val="24"/>
              </w:rPr>
            </w:pPr>
            <w:r w:rsidRPr="00AC30F7">
              <w:rPr>
                <w:rFonts w:ascii="Arial" w:eastAsia="Arial" w:hAnsi="Arial" w:cs="Arial"/>
              </w:rPr>
              <w:t>-17</w:t>
            </w:r>
          </w:p>
        </w:tc>
        <w:tc>
          <w:tcPr>
            <w:tcW w:w="1465" w:type="dxa"/>
            <w:vAlign w:val="center"/>
          </w:tcPr>
          <w:p w14:paraId="7C273784"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-0.4%</w:t>
            </w:r>
          </w:p>
        </w:tc>
      </w:tr>
      <w:tr w:rsidR="00B47306" w:rsidRPr="00AC30F7" w14:paraId="31884E6A" w14:textId="77777777" w:rsidTr="004B3B6B">
        <w:trPr>
          <w:trHeight w:val="330"/>
        </w:trPr>
        <w:tc>
          <w:tcPr>
            <w:tcW w:w="1525" w:type="dxa"/>
            <w:vAlign w:val="center"/>
          </w:tcPr>
          <w:p w14:paraId="145FF611" w14:textId="47C48B48" w:rsidR="00B47306" w:rsidRPr="004B3B6B" w:rsidRDefault="00B47306" w:rsidP="00FF098A">
            <w:pPr>
              <w:jc w:val="center"/>
              <w:rPr>
                <w:rFonts w:ascii="Arial" w:eastAsia="Arial" w:hAnsi="Arial" w:cs="Arial"/>
                <w:sz w:val="24"/>
                <w:szCs w:val="24"/>
              </w:rPr>
            </w:pPr>
            <w:r w:rsidRPr="00AC30F7">
              <w:rPr>
                <w:rFonts w:ascii="Arial" w:eastAsia="Arial" w:hAnsi="Arial" w:cs="Arial"/>
              </w:rPr>
              <w:t>Sept</w:t>
            </w:r>
            <w:r w:rsidR="004B3B6B">
              <w:rPr>
                <w:rFonts w:ascii="Arial" w:eastAsia="Arial" w:hAnsi="Arial" w:cs="Arial"/>
              </w:rPr>
              <w:t>ember</w:t>
            </w:r>
          </w:p>
        </w:tc>
        <w:tc>
          <w:tcPr>
            <w:tcW w:w="1440" w:type="dxa"/>
            <w:vAlign w:val="center"/>
          </w:tcPr>
          <w:p w14:paraId="25FC07CD"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5,153</w:t>
            </w:r>
          </w:p>
        </w:tc>
        <w:tc>
          <w:tcPr>
            <w:tcW w:w="1800" w:type="dxa"/>
            <w:vAlign w:val="center"/>
          </w:tcPr>
          <w:p w14:paraId="44C26B46"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5,257</w:t>
            </w:r>
          </w:p>
        </w:tc>
        <w:tc>
          <w:tcPr>
            <w:tcW w:w="1666" w:type="dxa"/>
          </w:tcPr>
          <w:p w14:paraId="65A4C339"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4,918</w:t>
            </w:r>
          </w:p>
        </w:tc>
        <w:tc>
          <w:tcPr>
            <w:tcW w:w="1465" w:type="dxa"/>
            <w:vAlign w:val="center"/>
          </w:tcPr>
          <w:p w14:paraId="57AD5701"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-235</w:t>
            </w:r>
          </w:p>
        </w:tc>
        <w:tc>
          <w:tcPr>
            <w:tcW w:w="1465" w:type="dxa"/>
            <w:vAlign w:val="center"/>
          </w:tcPr>
          <w:p w14:paraId="1D9C51A7"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-4.6%</w:t>
            </w:r>
          </w:p>
        </w:tc>
      </w:tr>
      <w:tr w:rsidR="00B47306" w:rsidRPr="00AC30F7" w14:paraId="55086AA7" w14:textId="77777777" w:rsidTr="004B3B6B">
        <w:trPr>
          <w:trHeight w:val="465"/>
        </w:trPr>
        <w:tc>
          <w:tcPr>
            <w:tcW w:w="1525" w:type="dxa"/>
            <w:vAlign w:val="center"/>
          </w:tcPr>
          <w:p w14:paraId="4A3FA225" w14:textId="0B778302" w:rsidR="00B47306" w:rsidRPr="004B3B6B" w:rsidRDefault="00B47306" w:rsidP="00FF098A">
            <w:pPr>
              <w:jc w:val="center"/>
              <w:rPr>
                <w:rFonts w:ascii="Arial" w:eastAsia="Arial" w:hAnsi="Arial" w:cs="Arial"/>
                <w:sz w:val="24"/>
                <w:szCs w:val="24"/>
              </w:rPr>
            </w:pPr>
            <w:r w:rsidRPr="00AC30F7">
              <w:rPr>
                <w:rFonts w:ascii="Arial" w:eastAsia="Arial" w:hAnsi="Arial" w:cs="Arial"/>
              </w:rPr>
              <w:t>Oct</w:t>
            </w:r>
            <w:r w:rsidR="004B3B6B">
              <w:rPr>
                <w:rFonts w:ascii="Arial" w:eastAsia="Arial" w:hAnsi="Arial" w:cs="Arial"/>
              </w:rPr>
              <w:t>ober</w:t>
            </w:r>
          </w:p>
        </w:tc>
        <w:tc>
          <w:tcPr>
            <w:tcW w:w="1440" w:type="dxa"/>
            <w:vAlign w:val="center"/>
          </w:tcPr>
          <w:p w14:paraId="05536815"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6,402</w:t>
            </w:r>
          </w:p>
        </w:tc>
        <w:tc>
          <w:tcPr>
            <w:tcW w:w="1800" w:type="dxa"/>
            <w:vAlign w:val="center"/>
          </w:tcPr>
          <w:p w14:paraId="183C42D2"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6,543</w:t>
            </w:r>
          </w:p>
        </w:tc>
        <w:tc>
          <w:tcPr>
            <w:tcW w:w="1666" w:type="dxa"/>
          </w:tcPr>
          <w:p w14:paraId="1FFE7D8E"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5,993</w:t>
            </w:r>
          </w:p>
        </w:tc>
        <w:tc>
          <w:tcPr>
            <w:tcW w:w="1465" w:type="dxa"/>
            <w:vAlign w:val="center"/>
          </w:tcPr>
          <w:p w14:paraId="7C1CF6D3"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-409</w:t>
            </w:r>
          </w:p>
        </w:tc>
        <w:tc>
          <w:tcPr>
            <w:tcW w:w="1465" w:type="dxa"/>
            <w:vAlign w:val="center"/>
          </w:tcPr>
          <w:p w14:paraId="22FC2C54"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-6.4%</w:t>
            </w:r>
          </w:p>
        </w:tc>
      </w:tr>
      <w:tr w:rsidR="00B47306" w:rsidRPr="00AC30F7" w14:paraId="6F115B49" w14:textId="77777777" w:rsidTr="004B3B6B">
        <w:trPr>
          <w:trHeight w:val="330"/>
        </w:trPr>
        <w:tc>
          <w:tcPr>
            <w:tcW w:w="1525" w:type="dxa"/>
            <w:vAlign w:val="center"/>
          </w:tcPr>
          <w:p w14:paraId="49C0D58B" w14:textId="7E461CB7" w:rsidR="00B47306" w:rsidRPr="004B3B6B" w:rsidRDefault="00B47306" w:rsidP="00FF098A">
            <w:pPr>
              <w:jc w:val="center"/>
              <w:rPr>
                <w:rFonts w:ascii="Arial" w:eastAsia="Arial" w:hAnsi="Arial" w:cs="Arial"/>
                <w:sz w:val="24"/>
                <w:szCs w:val="24"/>
              </w:rPr>
            </w:pPr>
            <w:r w:rsidRPr="00AC30F7">
              <w:rPr>
                <w:rFonts w:ascii="Arial" w:eastAsia="Arial" w:hAnsi="Arial" w:cs="Arial"/>
              </w:rPr>
              <w:t>Nov</w:t>
            </w:r>
            <w:r w:rsidR="004B3B6B">
              <w:rPr>
                <w:rFonts w:ascii="Arial" w:eastAsia="Arial" w:hAnsi="Arial" w:cs="Arial"/>
              </w:rPr>
              <w:t>ember</w:t>
            </w:r>
          </w:p>
        </w:tc>
        <w:tc>
          <w:tcPr>
            <w:tcW w:w="1440" w:type="dxa"/>
            <w:vAlign w:val="center"/>
          </w:tcPr>
          <w:p w14:paraId="29245B02"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4,122</w:t>
            </w:r>
          </w:p>
        </w:tc>
        <w:tc>
          <w:tcPr>
            <w:tcW w:w="1800" w:type="dxa"/>
            <w:vAlign w:val="center"/>
          </w:tcPr>
          <w:p w14:paraId="7E695F84"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4,025</w:t>
            </w:r>
          </w:p>
        </w:tc>
        <w:tc>
          <w:tcPr>
            <w:tcW w:w="1666" w:type="dxa"/>
          </w:tcPr>
          <w:p w14:paraId="695DA222"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3,859</w:t>
            </w:r>
          </w:p>
        </w:tc>
        <w:tc>
          <w:tcPr>
            <w:tcW w:w="1465" w:type="dxa"/>
            <w:vAlign w:val="center"/>
          </w:tcPr>
          <w:p w14:paraId="14B36706"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-263</w:t>
            </w:r>
          </w:p>
        </w:tc>
        <w:tc>
          <w:tcPr>
            <w:tcW w:w="1465" w:type="dxa"/>
            <w:vAlign w:val="center"/>
          </w:tcPr>
          <w:p w14:paraId="4E479004"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-6.4%</w:t>
            </w:r>
          </w:p>
        </w:tc>
      </w:tr>
      <w:tr w:rsidR="00B47306" w:rsidRPr="00AC30F7" w14:paraId="2A1A1BE5" w14:textId="77777777" w:rsidTr="004B3B6B">
        <w:trPr>
          <w:trHeight w:val="330"/>
        </w:trPr>
        <w:tc>
          <w:tcPr>
            <w:tcW w:w="1525" w:type="dxa"/>
            <w:vAlign w:val="center"/>
          </w:tcPr>
          <w:p w14:paraId="30921E40" w14:textId="0F379406" w:rsidR="00B47306" w:rsidRPr="004B3B6B" w:rsidRDefault="004B3B6B" w:rsidP="00FF098A">
            <w:pPr>
              <w:jc w:val="center"/>
              <w:rPr>
                <w:rFonts w:ascii="Arial" w:eastAsia="Arial" w:hAnsi="Arial" w:cs="Arial"/>
                <w:sz w:val="24"/>
                <w:szCs w:val="24"/>
              </w:rPr>
            </w:pPr>
            <w:r w:rsidRPr="00AC30F7">
              <w:rPr>
                <w:rFonts w:ascii="Arial" w:eastAsia="Arial" w:hAnsi="Arial" w:cs="Arial"/>
              </w:rPr>
              <w:t>Dec</w:t>
            </w:r>
            <w:r>
              <w:rPr>
                <w:rFonts w:ascii="Arial" w:eastAsia="Arial" w:hAnsi="Arial" w:cs="Arial"/>
              </w:rPr>
              <w:t>ember</w:t>
            </w:r>
          </w:p>
        </w:tc>
        <w:tc>
          <w:tcPr>
            <w:tcW w:w="1440" w:type="dxa"/>
            <w:vAlign w:val="center"/>
          </w:tcPr>
          <w:p w14:paraId="549A8407"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5,754</w:t>
            </w:r>
          </w:p>
        </w:tc>
        <w:tc>
          <w:tcPr>
            <w:tcW w:w="1800" w:type="dxa"/>
            <w:vAlign w:val="center"/>
          </w:tcPr>
          <w:p w14:paraId="35E1B7BB"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6,338</w:t>
            </w:r>
          </w:p>
        </w:tc>
        <w:tc>
          <w:tcPr>
            <w:tcW w:w="1666" w:type="dxa"/>
          </w:tcPr>
          <w:p w14:paraId="669CC89C"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6,367</w:t>
            </w:r>
          </w:p>
        </w:tc>
        <w:tc>
          <w:tcPr>
            <w:tcW w:w="1465" w:type="dxa"/>
            <w:vAlign w:val="center"/>
          </w:tcPr>
          <w:p w14:paraId="5B918873"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+613</w:t>
            </w:r>
          </w:p>
        </w:tc>
        <w:tc>
          <w:tcPr>
            <w:tcW w:w="1465" w:type="dxa"/>
            <w:vAlign w:val="center"/>
          </w:tcPr>
          <w:p w14:paraId="55F45004"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+10.7%</w:t>
            </w:r>
          </w:p>
        </w:tc>
      </w:tr>
      <w:tr w:rsidR="00B47306" w:rsidRPr="00AC30F7" w14:paraId="7A8F422B" w14:textId="77777777" w:rsidTr="004B3B6B">
        <w:trPr>
          <w:trHeight w:val="345"/>
        </w:trPr>
        <w:tc>
          <w:tcPr>
            <w:tcW w:w="1525" w:type="dxa"/>
            <w:vAlign w:val="center"/>
          </w:tcPr>
          <w:p w14:paraId="31DF3301" w14:textId="4F1F225B" w:rsidR="00B47306" w:rsidRPr="004B3B6B" w:rsidRDefault="004B3B6B" w:rsidP="00FF098A">
            <w:pPr>
              <w:jc w:val="center"/>
              <w:rPr>
                <w:rFonts w:ascii="Arial" w:eastAsia="Arial" w:hAnsi="Arial" w:cs="Arial"/>
                <w:sz w:val="24"/>
                <w:szCs w:val="24"/>
              </w:rPr>
            </w:pPr>
            <w:r w:rsidRPr="00AC30F7">
              <w:rPr>
                <w:rFonts w:ascii="Arial" w:eastAsia="Arial" w:hAnsi="Arial" w:cs="Arial"/>
              </w:rPr>
              <w:t>Jan</w:t>
            </w:r>
            <w:r>
              <w:rPr>
                <w:rFonts w:ascii="Arial" w:eastAsia="Arial" w:hAnsi="Arial" w:cs="Arial"/>
              </w:rPr>
              <w:t>uary</w:t>
            </w:r>
          </w:p>
        </w:tc>
        <w:tc>
          <w:tcPr>
            <w:tcW w:w="1440" w:type="dxa"/>
            <w:vAlign w:val="center"/>
          </w:tcPr>
          <w:p w14:paraId="500D93F0"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7,728</w:t>
            </w:r>
          </w:p>
        </w:tc>
        <w:tc>
          <w:tcPr>
            <w:tcW w:w="1800" w:type="dxa"/>
            <w:vAlign w:val="center"/>
          </w:tcPr>
          <w:p w14:paraId="0232AF41"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7,195</w:t>
            </w:r>
          </w:p>
        </w:tc>
        <w:tc>
          <w:tcPr>
            <w:tcW w:w="1666" w:type="dxa"/>
          </w:tcPr>
          <w:p w14:paraId="72E96F4F"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6,808</w:t>
            </w:r>
          </w:p>
        </w:tc>
        <w:tc>
          <w:tcPr>
            <w:tcW w:w="1465" w:type="dxa"/>
            <w:vAlign w:val="center"/>
          </w:tcPr>
          <w:p w14:paraId="7AE496DE"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-920</w:t>
            </w:r>
          </w:p>
        </w:tc>
        <w:tc>
          <w:tcPr>
            <w:tcW w:w="1465" w:type="dxa"/>
            <w:vAlign w:val="center"/>
          </w:tcPr>
          <w:p w14:paraId="1FEC0052"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-11.9%</w:t>
            </w:r>
          </w:p>
        </w:tc>
      </w:tr>
      <w:tr w:rsidR="00B47306" w:rsidRPr="00AC30F7" w14:paraId="50908198" w14:textId="77777777" w:rsidTr="004B3B6B">
        <w:trPr>
          <w:trHeight w:val="330"/>
        </w:trPr>
        <w:tc>
          <w:tcPr>
            <w:tcW w:w="1525" w:type="dxa"/>
            <w:vAlign w:val="center"/>
          </w:tcPr>
          <w:p w14:paraId="1EA88070" w14:textId="2814B74D" w:rsidR="00B47306" w:rsidRPr="004B3B6B" w:rsidRDefault="004B3B6B" w:rsidP="00FF098A">
            <w:pPr>
              <w:jc w:val="center"/>
              <w:rPr>
                <w:rFonts w:ascii="Arial" w:eastAsia="Arial" w:hAnsi="Arial" w:cs="Arial"/>
                <w:sz w:val="24"/>
                <w:szCs w:val="24"/>
              </w:rPr>
            </w:pPr>
            <w:r>
              <w:rPr>
                <w:rFonts w:ascii="Arial" w:eastAsia="Arial" w:hAnsi="Arial" w:cs="Arial"/>
              </w:rPr>
              <w:t>February</w:t>
            </w:r>
          </w:p>
        </w:tc>
        <w:tc>
          <w:tcPr>
            <w:tcW w:w="1440" w:type="dxa"/>
            <w:vAlign w:val="center"/>
          </w:tcPr>
          <w:p w14:paraId="7C097D0B"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5,028</w:t>
            </w:r>
          </w:p>
        </w:tc>
        <w:tc>
          <w:tcPr>
            <w:tcW w:w="1800" w:type="dxa"/>
            <w:vAlign w:val="center"/>
          </w:tcPr>
          <w:p w14:paraId="7215E6E3"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5,083</w:t>
            </w:r>
          </w:p>
        </w:tc>
        <w:tc>
          <w:tcPr>
            <w:tcW w:w="1666" w:type="dxa"/>
          </w:tcPr>
          <w:p w14:paraId="2420475E"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4,688</w:t>
            </w:r>
          </w:p>
        </w:tc>
        <w:tc>
          <w:tcPr>
            <w:tcW w:w="1465" w:type="dxa"/>
            <w:vAlign w:val="center"/>
          </w:tcPr>
          <w:p w14:paraId="2E455DE2"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-340</w:t>
            </w:r>
          </w:p>
        </w:tc>
        <w:tc>
          <w:tcPr>
            <w:tcW w:w="1465" w:type="dxa"/>
            <w:vAlign w:val="center"/>
          </w:tcPr>
          <w:p w14:paraId="4A917D3B"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-6.8%</w:t>
            </w:r>
          </w:p>
        </w:tc>
      </w:tr>
      <w:tr w:rsidR="00B47306" w:rsidRPr="00AC30F7" w14:paraId="43908F66" w14:textId="77777777" w:rsidTr="004B3B6B">
        <w:trPr>
          <w:trHeight w:val="345"/>
        </w:trPr>
        <w:tc>
          <w:tcPr>
            <w:tcW w:w="1525" w:type="dxa"/>
            <w:vAlign w:val="center"/>
          </w:tcPr>
          <w:p w14:paraId="0F78500B"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March</w:t>
            </w:r>
          </w:p>
        </w:tc>
        <w:tc>
          <w:tcPr>
            <w:tcW w:w="1440" w:type="dxa"/>
            <w:vAlign w:val="center"/>
          </w:tcPr>
          <w:p w14:paraId="5BE5D399"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5,518</w:t>
            </w:r>
          </w:p>
        </w:tc>
        <w:tc>
          <w:tcPr>
            <w:tcW w:w="1800" w:type="dxa"/>
            <w:vAlign w:val="center"/>
          </w:tcPr>
          <w:p w14:paraId="2E8ED806"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5,912</w:t>
            </w:r>
          </w:p>
        </w:tc>
        <w:tc>
          <w:tcPr>
            <w:tcW w:w="1666" w:type="dxa"/>
          </w:tcPr>
          <w:p w14:paraId="4DD7DD84"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2,748</w:t>
            </w:r>
          </w:p>
        </w:tc>
        <w:tc>
          <w:tcPr>
            <w:tcW w:w="1465" w:type="dxa"/>
            <w:vAlign w:val="center"/>
          </w:tcPr>
          <w:p w14:paraId="7EE23931"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-2,770</w:t>
            </w:r>
          </w:p>
        </w:tc>
        <w:tc>
          <w:tcPr>
            <w:tcW w:w="1465" w:type="dxa"/>
            <w:vAlign w:val="center"/>
          </w:tcPr>
          <w:p w14:paraId="0B5FD20E"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-50.2%</w:t>
            </w:r>
          </w:p>
        </w:tc>
      </w:tr>
      <w:tr w:rsidR="00B47306" w:rsidRPr="00AC30F7" w14:paraId="01862BCF" w14:textId="77777777" w:rsidTr="004B3B6B">
        <w:trPr>
          <w:trHeight w:val="330"/>
        </w:trPr>
        <w:tc>
          <w:tcPr>
            <w:tcW w:w="1525" w:type="dxa"/>
            <w:vAlign w:val="center"/>
          </w:tcPr>
          <w:p w14:paraId="7D7D0F63"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April</w:t>
            </w:r>
          </w:p>
        </w:tc>
        <w:tc>
          <w:tcPr>
            <w:tcW w:w="1440" w:type="dxa"/>
            <w:vAlign w:val="center"/>
          </w:tcPr>
          <w:p w14:paraId="0E913B5C"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3,184</w:t>
            </w:r>
          </w:p>
        </w:tc>
        <w:tc>
          <w:tcPr>
            <w:tcW w:w="1800" w:type="dxa"/>
            <w:vAlign w:val="center"/>
          </w:tcPr>
          <w:p w14:paraId="2ADB3579"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3,118</w:t>
            </w:r>
          </w:p>
        </w:tc>
        <w:tc>
          <w:tcPr>
            <w:tcW w:w="1666" w:type="dxa"/>
          </w:tcPr>
          <w:p w14:paraId="42011925"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333</w:t>
            </w:r>
          </w:p>
        </w:tc>
        <w:tc>
          <w:tcPr>
            <w:tcW w:w="1465" w:type="dxa"/>
            <w:vAlign w:val="center"/>
          </w:tcPr>
          <w:p w14:paraId="5730762B"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-2,851</w:t>
            </w:r>
          </w:p>
        </w:tc>
        <w:tc>
          <w:tcPr>
            <w:tcW w:w="1465" w:type="dxa"/>
            <w:vAlign w:val="center"/>
          </w:tcPr>
          <w:p w14:paraId="65C51CA4"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-89.5%</w:t>
            </w:r>
          </w:p>
        </w:tc>
      </w:tr>
      <w:tr w:rsidR="00B47306" w:rsidRPr="00AC30F7" w14:paraId="09FFD4F0" w14:textId="77777777" w:rsidTr="004B3B6B">
        <w:trPr>
          <w:trHeight w:val="345"/>
        </w:trPr>
        <w:tc>
          <w:tcPr>
            <w:tcW w:w="1525" w:type="dxa"/>
            <w:vAlign w:val="center"/>
          </w:tcPr>
          <w:p w14:paraId="722A26A7"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May</w:t>
            </w:r>
          </w:p>
        </w:tc>
        <w:tc>
          <w:tcPr>
            <w:tcW w:w="1440" w:type="dxa"/>
            <w:vAlign w:val="center"/>
          </w:tcPr>
          <w:p w14:paraId="2225E2A5"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1,267</w:t>
            </w:r>
          </w:p>
        </w:tc>
        <w:tc>
          <w:tcPr>
            <w:tcW w:w="1800" w:type="dxa"/>
            <w:vAlign w:val="center"/>
          </w:tcPr>
          <w:p w14:paraId="2CAFE0AE"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730</w:t>
            </w:r>
          </w:p>
        </w:tc>
        <w:tc>
          <w:tcPr>
            <w:tcW w:w="1666" w:type="dxa"/>
          </w:tcPr>
          <w:p w14:paraId="64507562"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151</w:t>
            </w:r>
          </w:p>
        </w:tc>
        <w:tc>
          <w:tcPr>
            <w:tcW w:w="1465" w:type="dxa"/>
            <w:vAlign w:val="center"/>
          </w:tcPr>
          <w:p w14:paraId="10F48836"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-1,116</w:t>
            </w:r>
          </w:p>
        </w:tc>
        <w:tc>
          <w:tcPr>
            <w:tcW w:w="1465" w:type="dxa"/>
            <w:vAlign w:val="center"/>
          </w:tcPr>
          <w:p w14:paraId="58A38A8B"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-88.1%</w:t>
            </w:r>
          </w:p>
        </w:tc>
      </w:tr>
      <w:tr w:rsidR="00B47306" w:rsidRPr="00AC30F7" w14:paraId="190A7F32" w14:textId="77777777" w:rsidTr="004B3B6B">
        <w:trPr>
          <w:trHeight w:val="330"/>
        </w:trPr>
        <w:tc>
          <w:tcPr>
            <w:tcW w:w="1525" w:type="dxa"/>
            <w:vAlign w:val="center"/>
          </w:tcPr>
          <w:p w14:paraId="70BFE85D"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June</w:t>
            </w:r>
          </w:p>
        </w:tc>
        <w:tc>
          <w:tcPr>
            <w:tcW w:w="1440" w:type="dxa"/>
            <w:vAlign w:val="center"/>
          </w:tcPr>
          <w:p w14:paraId="1B5ACE85"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148</w:t>
            </w:r>
          </w:p>
        </w:tc>
        <w:tc>
          <w:tcPr>
            <w:tcW w:w="1800" w:type="dxa"/>
            <w:vAlign w:val="center"/>
          </w:tcPr>
          <w:p w14:paraId="4B584315"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0</w:t>
            </w:r>
          </w:p>
        </w:tc>
        <w:tc>
          <w:tcPr>
            <w:tcW w:w="1666" w:type="dxa"/>
          </w:tcPr>
          <w:p w14:paraId="3D5C510C"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35</w:t>
            </w:r>
          </w:p>
        </w:tc>
        <w:tc>
          <w:tcPr>
            <w:tcW w:w="1465" w:type="dxa"/>
            <w:vAlign w:val="center"/>
          </w:tcPr>
          <w:p w14:paraId="54B1D37E"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-113</w:t>
            </w:r>
          </w:p>
        </w:tc>
        <w:tc>
          <w:tcPr>
            <w:tcW w:w="1465" w:type="dxa"/>
            <w:vAlign w:val="center"/>
          </w:tcPr>
          <w:p w14:paraId="627BBB87" w14:textId="77777777" w:rsidR="00B47306" w:rsidRPr="004B3B6B" w:rsidRDefault="00B47306" w:rsidP="00FF098A">
            <w:pPr>
              <w:jc w:val="center"/>
              <w:rPr>
                <w:rFonts w:ascii="Arial" w:eastAsia="Arial" w:hAnsi="Arial" w:cs="Arial"/>
                <w:sz w:val="24"/>
                <w:szCs w:val="24"/>
              </w:rPr>
            </w:pPr>
            <w:r w:rsidRPr="00AC30F7">
              <w:rPr>
                <w:rFonts w:ascii="Arial" w:eastAsia="Arial" w:hAnsi="Arial" w:cs="Arial"/>
              </w:rPr>
              <w:t>-76.4%</w:t>
            </w:r>
          </w:p>
        </w:tc>
      </w:tr>
      <w:tr w:rsidR="00B47306" w:rsidRPr="00AC30F7" w14:paraId="3B9A0830" w14:textId="77777777" w:rsidTr="004B3B6B">
        <w:trPr>
          <w:trHeight w:val="300"/>
        </w:trPr>
        <w:tc>
          <w:tcPr>
            <w:tcW w:w="1525" w:type="dxa"/>
            <w:vAlign w:val="center"/>
          </w:tcPr>
          <w:p w14:paraId="46FE0C09" w14:textId="77777777" w:rsidR="00B47306" w:rsidRPr="004B3B6B" w:rsidRDefault="00B47306" w:rsidP="00FF098A">
            <w:pPr>
              <w:jc w:val="center"/>
              <w:rPr>
                <w:rFonts w:ascii="Arial" w:eastAsia="Arial" w:hAnsi="Arial" w:cs="Arial"/>
                <w:b/>
                <w:bCs/>
                <w:sz w:val="24"/>
                <w:szCs w:val="24"/>
              </w:rPr>
            </w:pPr>
            <w:r w:rsidRPr="00AC30F7">
              <w:rPr>
                <w:rFonts w:ascii="Arial" w:eastAsia="Arial" w:hAnsi="Arial" w:cs="Arial"/>
                <w:b/>
                <w:bCs/>
              </w:rPr>
              <w:t>Total</w:t>
            </w:r>
          </w:p>
        </w:tc>
        <w:tc>
          <w:tcPr>
            <w:tcW w:w="1440" w:type="dxa"/>
            <w:vAlign w:val="center"/>
          </w:tcPr>
          <w:p w14:paraId="7F9C3725" w14:textId="77777777" w:rsidR="00B47306" w:rsidRPr="004B3B6B" w:rsidRDefault="00B47306" w:rsidP="00FF098A">
            <w:pPr>
              <w:jc w:val="center"/>
              <w:rPr>
                <w:rFonts w:ascii="Arial" w:eastAsia="Arial" w:hAnsi="Arial" w:cs="Arial"/>
                <w:b/>
                <w:bCs/>
                <w:sz w:val="24"/>
                <w:szCs w:val="24"/>
              </w:rPr>
            </w:pPr>
            <w:r w:rsidRPr="00AC30F7">
              <w:rPr>
                <w:rFonts w:ascii="Arial" w:eastAsia="Arial" w:hAnsi="Arial" w:cs="Arial"/>
                <w:b/>
                <w:bCs/>
              </w:rPr>
              <w:t>48,674</w:t>
            </w:r>
          </w:p>
        </w:tc>
        <w:tc>
          <w:tcPr>
            <w:tcW w:w="1800" w:type="dxa"/>
            <w:vAlign w:val="center"/>
          </w:tcPr>
          <w:p w14:paraId="55B68352" w14:textId="77777777" w:rsidR="00B47306" w:rsidRPr="004B3B6B" w:rsidRDefault="00B47306" w:rsidP="00FF098A">
            <w:pPr>
              <w:jc w:val="center"/>
              <w:rPr>
                <w:rFonts w:ascii="Arial" w:eastAsia="Arial" w:hAnsi="Arial" w:cs="Arial"/>
                <w:b/>
                <w:bCs/>
                <w:sz w:val="24"/>
                <w:szCs w:val="24"/>
              </w:rPr>
            </w:pPr>
            <w:r w:rsidRPr="00AC30F7">
              <w:rPr>
                <w:rFonts w:ascii="Arial" w:eastAsia="Arial" w:hAnsi="Arial" w:cs="Arial"/>
                <w:b/>
                <w:bCs/>
              </w:rPr>
              <w:t>49,335</w:t>
            </w:r>
          </w:p>
        </w:tc>
        <w:tc>
          <w:tcPr>
            <w:tcW w:w="1666" w:type="dxa"/>
          </w:tcPr>
          <w:p w14:paraId="709016E6" w14:textId="77777777" w:rsidR="00B47306" w:rsidRPr="004B3B6B" w:rsidRDefault="00B47306" w:rsidP="00FF098A">
            <w:pPr>
              <w:jc w:val="center"/>
              <w:rPr>
                <w:rFonts w:ascii="Arial" w:eastAsia="Arial" w:hAnsi="Arial" w:cs="Arial"/>
                <w:b/>
                <w:bCs/>
                <w:sz w:val="24"/>
                <w:szCs w:val="24"/>
              </w:rPr>
            </w:pPr>
            <w:r w:rsidRPr="00AC30F7">
              <w:rPr>
                <w:rFonts w:ascii="Arial" w:eastAsia="Arial" w:hAnsi="Arial" w:cs="Arial"/>
                <w:b/>
                <w:bCs/>
              </w:rPr>
              <w:t>40,367</w:t>
            </w:r>
          </w:p>
        </w:tc>
        <w:tc>
          <w:tcPr>
            <w:tcW w:w="1465" w:type="dxa"/>
            <w:vAlign w:val="center"/>
          </w:tcPr>
          <w:p w14:paraId="1DD2EDB6" w14:textId="77777777" w:rsidR="00B47306" w:rsidRPr="004B3B6B" w:rsidRDefault="00B47306" w:rsidP="00FF098A">
            <w:pPr>
              <w:jc w:val="center"/>
              <w:rPr>
                <w:rFonts w:ascii="Arial" w:eastAsia="Arial" w:hAnsi="Arial" w:cs="Arial"/>
                <w:b/>
                <w:bCs/>
                <w:sz w:val="24"/>
                <w:szCs w:val="24"/>
              </w:rPr>
            </w:pPr>
            <w:r w:rsidRPr="00AC30F7">
              <w:rPr>
                <w:rFonts w:ascii="Arial" w:eastAsia="Arial" w:hAnsi="Arial" w:cs="Arial"/>
                <w:b/>
                <w:bCs/>
              </w:rPr>
              <w:t>-8,307</w:t>
            </w:r>
          </w:p>
        </w:tc>
        <w:tc>
          <w:tcPr>
            <w:tcW w:w="1465" w:type="dxa"/>
            <w:vAlign w:val="center"/>
          </w:tcPr>
          <w:p w14:paraId="3EA2B6D3" w14:textId="77777777" w:rsidR="00B47306" w:rsidRPr="004B3B6B" w:rsidRDefault="00B47306" w:rsidP="00FF098A">
            <w:pPr>
              <w:jc w:val="center"/>
              <w:rPr>
                <w:rFonts w:ascii="Arial" w:eastAsia="Arial" w:hAnsi="Arial" w:cs="Arial"/>
                <w:b/>
                <w:bCs/>
                <w:sz w:val="24"/>
                <w:szCs w:val="24"/>
              </w:rPr>
            </w:pPr>
            <w:r w:rsidRPr="00AC30F7">
              <w:rPr>
                <w:rFonts w:ascii="Arial" w:eastAsia="Arial" w:hAnsi="Arial" w:cs="Arial"/>
              </w:rPr>
              <w:t>-</w:t>
            </w:r>
            <w:r w:rsidRPr="00AC30F7">
              <w:rPr>
                <w:rFonts w:ascii="Arial" w:eastAsia="Arial" w:hAnsi="Arial" w:cs="Arial"/>
                <w:b/>
                <w:bCs/>
              </w:rPr>
              <w:t>17.1%</w:t>
            </w:r>
          </w:p>
        </w:tc>
      </w:tr>
    </w:tbl>
    <w:p w14:paraId="00EF4573" w14:textId="77777777" w:rsidR="00B47306" w:rsidRDefault="00B47306" w:rsidP="00B47306">
      <w:pPr>
        <w:spacing w:line="276" w:lineRule="exact"/>
        <w:rPr>
          <w:rFonts w:eastAsia="Arial" w:cs="Arial"/>
          <w:color w:val="000000" w:themeColor="text1"/>
        </w:rPr>
      </w:pPr>
      <w:r w:rsidRPr="004B3B6B">
        <w:rPr>
          <w:rFonts w:ascii="Arial" w:eastAsia="Arial" w:hAnsi="Arial" w:cs="Arial"/>
          <w:color w:val="000000" w:themeColor="text1"/>
        </w:rPr>
        <w:t>Note: % Change = 100 x [(New Value - Old Value) ÷ Old Value]</w:t>
      </w:r>
      <w:r w:rsidRPr="004B3B6B">
        <w:rPr>
          <w:rFonts w:ascii="Arial" w:hAnsi="Arial" w:cs="Arial"/>
        </w:rPr>
        <w:br/>
      </w:r>
    </w:p>
    <w:p w14:paraId="6E71B696" w14:textId="77777777" w:rsidR="00B47306" w:rsidRPr="00F4519D" w:rsidRDefault="00B47306" w:rsidP="00B47306">
      <w:pPr>
        <w:pStyle w:val="Heading5"/>
        <w:spacing w:after="240"/>
        <w:rPr>
          <w:rFonts w:ascii="Arial" w:hAnsi="Arial" w:cs="Arial"/>
          <w:b/>
          <w:i/>
          <w:color w:val="000000" w:themeColor="text1"/>
        </w:rPr>
      </w:pPr>
      <w:r w:rsidRPr="00F4519D">
        <w:rPr>
          <w:rFonts w:ascii="Arial" w:eastAsia="Arial" w:hAnsi="Arial" w:cs="Arial"/>
          <w:b/>
          <w:color w:val="000000" w:themeColor="text1"/>
        </w:rPr>
        <w:t xml:space="preserve">Summary of Difference and Percent Change of Transfer Totals </w:t>
      </w:r>
    </w:p>
    <w:p w14:paraId="4808D390" w14:textId="77777777" w:rsidR="00B47306" w:rsidRPr="00F4519D" w:rsidRDefault="00B47306" w:rsidP="00B47306">
      <w:pPr>
        <w:rPr>
          <w:rFonts w:ascii="Arial" w:eastAsia="Arial" w:hAnsi="Arial" w:cs="Arial"/>
          <w:color w:val="000000" w:themeColor="text1"/>
        </w:rPr>
      </w:pPr>
      <w:r w:rsidRPr="6D3C5209">
        <w:rPr>
          <w:rFonts w:ascii="Arial" w:eastAsia="Arial" w:hAnsi="Arial" w:cs="Arial"/>
          <w:color w:val="000000" w:themeColor="text1"/>
        </w:rPr>
        <w:t>As shown in Table 1, there is a significant decrease in the total number of transfers from the 2017–2018 base year to 2019–2020, owing in large part to the statewide school closures from March 2020 onwards. Overall, there were 8,307 fewer transfers, or a percent change of –17.1, from 2017–18 through 2019–20.</w:t>
      </w:r>
    </w:p>
    <w:p w14:paraId="44EAFD9C" w14:textId="77777777" w:rsidR="00B47306" w:rsidRPr="00F4519D" w:rsidRDefault="00B47306" w:rsidP="00B47306">
      <w:pPr>
        <w:rPr>
          <w:rFonts w:ascii="Arial" w:eastAsia="Arial" w:hAnsi="Arial" w:cs="Arial"/>
          <w:color w:val="000000" w:themeColor="text1"/>
        </w:rPr>
      </w:pPr>
    </w:p>
    <w:p w14:paraId="38A8A197" w14:textId="270830E8" w:rsidR="00B47306" w:rsidRPr="00F4519D" w:rsidRDefault="00B47306" w:rsidP="00B47306">
      <w:pPr>
        <w:rPr>
          <w:rFonts w:ascii="Arial" w:eastAsia="Arial" w:hAnsi="Arial" w:cs="Arial"/>
          <w:color w:val="000000" w:themeColor="text1"/>
        </w:rPr>
      </w:pPr>
      <w:r w:rsidRPr="6D3C5209">
        <w:rPr>
          <w:rFonts w:ascii="Arial" w:eastAsia="Arial" w:hAnsi="Arial" w:cs="Arial"/>
          <w:color w:val="000000" w:themeColor="text1"/>
        </w:rPr>
        <w:t>The sharpest drops (in terms of number and percentage) occur in April 2020 with 2,851 fewer transfers than during that same month in 2017–18, or a change of –89.5 percent. As mentioned above, these data likely reflect the larger state trends.</w:t>
      </w:r>
    </w:p>
    <w:p w14:paraId="4B94D5A5" w14:textId="77777777" w:rsidR="00B47306" w:rsidRPr="00F4519D" w:rsidRDefault="00B47306" w:rsidP="00B47306">
      <w:pPr>
        <w:rPr>
          <w:rFonts w:ascii="Arial" w:eastAsia="Arial" w:hAnsi="Arial" w:cs="Arial"/>
          <w:color w:val="000000" w:themeColor="text1"/>
        </w:rPr>
      </w:pPr>
    </w:p>
    <w:p w14:paraId="363F468E" w14:textId="77777777" w:rsidR="00B47306" w:rsidRDefault="00B47306" w:rsidP="00B47306">
      <w:pPr>
        <w:rPr>
          <w:rFonts w:ascii="Arial" w:eastAsia="Arial" w:hAnsi="Arial" w:cs="Arial"/>
          <w:color w:val="000000" w:themeColor="text1"/>
        </w:rPr>
      </w:pPr>
      <w:r w:rsidRPr="6D3C5209">
        <w:rPr>
          <w:rFonts w:ascii="Arial" w:eastAsia="Arial" w:hAnsi="Arial" w:cs="Arial"/>
          <w:color w:val="000000" w:themeColor="text1"/>
        </w:rPr>
        <w:t>Looking at the months that precede the pandemic, there is a general downward trend in student transfers in 2019–20, with the exception of:</w:t>
      </w:r>
    </w:p>
    <w:p w14:paraId="3DEEC669" w14:textId="77777777" w:rsidR="00B47306" w:rsidRDefault="00B47306" w:rsidP="00B47306">
      <w:pPr>
        <w:rPr>
          <w:rFonts w:ascii="Arial" w:eastAsia="Arial" w:hAnsi="Arial" w:cs="Arial"/>
          <w:color w:val="000000" w:themeColor="text1"/>
        </w:rPr>
      </w:pPr>
    </w:p>
    <w:p w14:paraId="7DA65A35" w14:textId="7C901533" w:rsidR="00B47306" w:rsidRPr="00D75927" w:rsidRDefault="00B47306" w:rsidP="00B47306">
      <w:pPr>
        <w:pStyle w:val="ListParagraph"/>
        <w:numPr>
          <w:ilvl w:val="0"/>
          <w:numId w:val="23"/>
        </w:numPr>
        <w:rPr>
          <w:rFonts w:ascii="Arial" w:eastAsia="Arial" w:hAnsi="Arial" w:cs="Arial"/>
          <w:color w:val="000000" w:themeColor="text1"/>
          <w:sz w:val="24"/>
          <w:szCs w:val="24"/>
        </w:rPr>
      </w:pPr>
      <w:r w:rsidRPr="00D75927">
        <w:rPr>
          <w:rFonts w:ascii="Arial" w:eastAsia="Arial" w:hAnsi="Arial" w:cs="Arial"/>
          <w:color w:val="000000" w:themeColor="text1"/>
          <w:sz w:val="24"/>
          <w:szCs w:val="24"/>
        </w:rPr>
        <w:t xml:space="preserve">December, in which student transfers rise from </w:t>
      </w:r>
      <w:r w:rsidRPr="00D75927">
        <w:rPr>
          <w:rFonts w:ascii="Arial" w:eastAsia="Arial" w:hAnsi="Arial" w:cs="Arial"/>
          <w:sz w:val="24"/>
          <w:szCs w:val="24"/>
        </w:rPr>
        <w:t>5,754 to 6,367</w:t>
      </w:r>
      <w:r w:rsidR="009F1720">
        <w:rPr>
          <w:rFonts w:ascii="Arial" w:eastAsia="Arial" w:hAnsi="Arial" w:cs="Arial"/>
          <w:sz w:val="24"/>
          <w:szCs w:val="24"/>
        </w:rPr>
        <w:t xml:space="preserve"> </w:t>
      </w:r>
      <w:r w:rsidRPr="00D75927">
        <w:rPr>
          <w:rFonts w:ascii="Arial" w:eastAsia="Arial" w:hAnsi="Arial" w:cs="Arial"/>
          <w:color w:val="000000" w:themeColor="text1"/>
          <w:sz w:val="24"/>
          <w:szCs w:val="24"/>
        </w:rPr>
        <w:t xml:space="preserve">(an increase of 10.7 percent) from 2017–18 to 2019–20. (We also see a steady rise in December transfers across all three year.) </w:t>
      </w:r>
    </w:p>
    <w:p w14:paraId="3656B9AB" w14:textId="77777777" w:rsidR="00B47306" w:rsidRDefault="00B47306" w:rsidP="00B47306">
      <w:pPr>
        <w:rPr>
          <w:color w:val="000000" w:themeColor="text1"/>
        </w:rPr>
      </w:pPr>
    </w:p>
    <w:p w14:paraId="4DBB44A4" w14:textId="77777777" w:rsidR="00B47306" w:rsidRDefault="00B47306" w:rsidP="00B47306">
      <w:pPr>
        <w:pStyle w:val="ListParagraph"/>
        <w:numPr>
          <w:ilvl w:val="0"/>
          <w:numId w:val="3"/>
        </w:numPr>
        <w:spacing w:after="240"/>
        <w:rPr>
          <w:rFonts w:ascii="Arial" w:eastAsia="Arial" w:hAnsi="Arial" w:cs="Arial"/>
          <w:color w:val="000000" w:themeColor="text1"/>
          <w:sz w:val="24"/>
          <w:szCs w:val="24"/>
        </w:rPr>
      </w:pPr>
      <w:r w:rsidRPr="6B6ADF47">
        <w:rPr>
          <w:rFonts w:ascii="Arial" w:eastAsia="Arial" w:hAnsi="Arial" w:cs="Arial"/>
          <w:color w:val="000000" w:themeColor="text1"/>
          <w:sz w:val="24"/>
          <w:szCs w:val="24"/>
        </w:rPr>
        <w:lastRenderedPageBreak/>
        <w:t>July, in which student transfer rise from 190 to 304 (an increase of 60 percent) from 2017–18 to 2019–20. (At least some of these transfers include Grade 12 students who attend a DASS summer school program and graduate.)</w:t>
      </w:r>
    </w:p>
    <w:p w14:paraId="0E66A2E1" w14:textId="77777777" w:rsidR="00B47306" w:rsidRPr="00383A68" w:rsidRDefault="00B47306" w:rsidP="00B47306">
      <w:pPr>
        <w:pStyle w:val="Heading4"/>
        <w:spacing w:after="240"/>
        <w:rPr>
          <w:rFonts w:ascii="Arial" w:hAnsi="Arial" w:cs="Arial"/>
          <w:b/>
          <w:color w:val="000000" w:themeColor="text1"/>
          <w:sz w:val="28"/>
          <w:szCs w:val="28"/>
        </w:rPr>
      </w:pPr>
      <w:r w:rsidRPr="00383A68">
        <w:rPr>
          <w:rFonts w:ascii="Arial" w:hAnsi="Arial" w:cs="Arial"/>
          <w:b/>
          <w:color w:val="000000" w:themeColor="text1"/>
          <w:sz w:val="28"/>
          <w:szCs w:val="28"/>
        </w:rPr>
        <w:t>Changes in Student Group Representation from 2017–18 to 2019–20</w:t>
      </w:r>
    </w:p>
    <w:p w14:paraId="65954A65" w14:textId="77777777" w:rsidR="00B47306" w:rsidRPr="00387169" w:rsidRDefault="00B47306" w:rsidP="00B47306">
      <w:pPr>
        <w:rPr>
          <w:rFonts w:ascii="Arial" w:eastAsia="Helvetica" w:hAnsi="Arial" w:cs="Arial"/>
          <w:bCs/>
          <w:color w:val="000000" w:themeColor="text1"/>
        </w:rPr>
      </w:pPr>
      <w:r>
        <w:rPr>
          <w:rFonts w:ascii="Arial" w:eastAsia="Arial" w:hAnsi="Arial" w:cs="Arial"/>
        </w:rPr>
        <w:t xml:space="preserve">The next set of tables </w:t>
      </w:r>
      <w:r w:rsidRPr="00210E1E">
        <w:rPr>
          <w:rFonts w:ascii="Arial" w:eastAsia="Helvetica" w:hAnsi="Arial" w:cs="Arial"/>
          <w:bCs/>
          <w:color w:val="000000" w:themeColor="text1"/>
        </w:rPr>
        <w:t xml:space="preserve">examine </w:t>
      </w:r>
      <w:r>
        <w:rPr>
          <w:rFonts w:ascii="Arial" w:eastAsia="Helvetica" w:hAnsi="Arial" w:cs="Arial"/>
          <w:bCs/>
          <w:color w:val="000000" w:themeColor="text1"/>
        </w:rPr>
        <w:t xml:space="preserve">the </w:t>
      </w:r>
      <w:r w:rsidRPr="00210E1E">
        <w:rPr>
          <w:rFonts w:ascii="Arial" w:eastAsia="Helvetica" w:hAnsi="Arial" w:cs="Arial"/>
          <w:bCs/>
          <w:color w:val="000000" w:themeColor="text1"/>
        </w:rPr>
        <w:t xml:space="preserve">changes in student group representation from </w:t>
      </w:r>
      <w:r>
        <w:rPr>
          <w:rFonts w:ascii="Arial" w:eastAsia="Arial" w:hAnsi="Arial" w:cs="Arial"/>
          <w:color w:val="000000" w:themeColor="text1"/>
        </w:rPr>
        <w:t>2017–2018 to</w:t>
      </w:r>
      <w:r w:rsidRPr="00210E1E">
        <w:rPr>
          <w:rFonts w:ascii="Arial" w:eastAsia="Arial" w:hAnsi="Arial" w:cs="Arial"/>
          <w:color w:val="000000" w:themeColor="text1"/>
        </w:rPr>
        <w:t xml:space="preserve"> 2019–2020</w:t>
      </w:r>
      <w:r w:rsidRPr="00210E1E">
        <w:rPr>
          <w:rFonts w:ascii="Arial" w:eastAsia="Helvetica" w:hAnsi="Arial" w:cs="Arial"/>
          <w:bCs/>
          <w:color w:val="000000" w:themeColor="text1"/>
        </w:rPr>
        <w:t>.</w:t>
      </w:r>
      <w:r>
        <w:rPr>
          <w:rFonts w:ascii="Arial" w:eastAsia="Helvetica" w:hAnsi="Arial" w:cs="Arial"/>
          <w:bCs/>
          <w:color w:val="000000" w:themeColor="text1"/>
        </w:rPr>
        <w:t xml:space="preserve"> </w:t>
      </w:r>
      <w:r w:rsidRPr="00F4519D">
        <w:rPr>
          <w:rFonts w:ascii="Arial" w:eastAsia="Arial" w:hAnsi="Arial" w:cs="Arial"/>
        </w:rPr>
        <w:t>Table</w:t>
      </w:r>
      <w:r>
        <w:rPr>
          <w:rFonts w:ascii="Arial" w:eastAsia="Arial" w:hAnsi="Arial" w:cs="Arial"/>
        </w:rPr>
        <w:t xml:space="preserve"> </w:t>
      </w:r>
      <w:r w:rsidRPr="00F4519D">
        <w:rPr>
          <w:rFonts w:ascii="Arial" w:eastAsia="Arial" w:hAnsi="Arial" w:cs="Arial"/>
        </w:rPr>
        <w:t xml:space="preserve">2 </w:t>
      </w:r>
      <w:r>
        <w:rPr>
          <w:rFonts w:ascii="Arial" w:hAnsi="Arial" w:cs="Arial"/>
        </w:rPr>
        <w:t xml:space="preserve">provides a breakdown in transfer counts by racial/ethnic student groups, while Table 3 provides the data at the program level. </w:t>
      </w:r>
    </w:p>
    <w:p w14:paraId="049F31CB" w14:textId="77777777" w:rsidR="00B47306" w:rsidRPr="005650A4" w:rsidRDefault="00B47306" w:rsidP="00B47306">
      <w:pPr>
        <w:rPr>
          <w:rFonts w:eastAsia="Arial"/>
        </w:rPr>
      </w:pPr>
    </w:p>
    <w:p w14:paraId="0A8E9531" w14:textId="61C63636" w:rsidR="00B47306" w:rsidRPr="00FD4AD2" w:rsidRDefault="00B47306" w:rsidP="00B47306">
      <w:pPr>
        <w:pStyle w:val="Heading5"/>
        <w:rPr>
          <w:rStyle w:val="eop"/>
          <w:rFonts w:ascii="Arial" w:hAnsi="Arial" w:cs="Arial"/>
          <w:b/>
          <w:i/>
          <w:color w:val="000000" w:themeColor="text1"/>
        </w:rPr>
      </w:pPr>
      <w:r w:rsidRPr="00FD4AD2">
        <w:rPr>
          <w:rStyle w:val="normaltextrun"/>
          <w:rFonts w:ascii="Arial" w:hAnsi="Arial" w:cs="Arial"/>
          <w:b/>
          <w:i/>
          <w:color w:val="000000" w:themeColor="text1"/>
        </w:rPr>
        <w:t xml:space="preserve">Table 2. Change in Race/Ethnicity Representation </w:t>
      </w:r>
      <w:r w:rsidR="005C6824">
        <w:rPr>
          <w:rStyle w:val="normaltextrun"/>
          <w:rFonts w:ascii="Arial" w:hAnsi="Arial" w:cs="Arial"/>
          <w:b/>
          <w:i/>
          <w:color w:val="000000" w:themeColor="text1"/>
        </w:rPr>
        <w:t>A</w:t>
      </w:r>
      <w:r w:rsidRPr="00FD4AD2">
        <w:rPr>
          <w:rStyle w:val="normaltextrun"/>
          <w:rFonts w:ascii="Arial" w:hAnsi="Arial" w:cs="Arial"/>
          <w:b/>
          <w:i/>
          <w:color w:val="000000" w:themeColor="text1"/>
        </w:rPr>
        <w:t xml:space="preserve">cross </w:t>
      </w:r>
      <w:r w:rsidR="00697D4B">
        <w:rPr>
          <w:rStyle w:val="normaltextrun"/>
          <w:rFonts w:ascii="Arial" w:hAnsi="Arial" w:cs="Arial"/>
          <w:b/>
          <w:i/>
          <w:color w:val="000000" w:themeColor="text1"/>
        </w:rPr>
        <w:t xml:space="preserve">School </w:t>
      </w:r>
      <w:r w:rsidR="005C6824">
        <w:rPr>
          <w:rStyle w:val="normaltextrun"/>
          <w:rFonts w:ascii="Arial" w:hAnsi="Arial" w:cs="Arial"/>
          <w:b/>
          <w:i/>
          <w:color w:val="000000" w:themeColor="text1"/>
        </w:rPr>
        <w:t>Y</w:t>
      </w:r>
      <w:r w:rsidR="00697D4B">
        <w:rPr>
          <w:rStyle w:val="normaltextrun"/>
          <w:rFonts w:ascii="Arial" w:hAnsi="Arial" w:cs="Arial"/>
          <w:b/>
          <w:i/>
          <w:color w:val="000000" w:themeColor="text1"/>
        </w:rPr>
        <w:t>ear</w:t>
      </w:r>
      <w:r w:rsidRPr="00FD4AD2">
        <w:rPr>
          <w:rStyle w:val="normaltextrun"/>
          <w:rFonts w:ascii="Arial" w:hAnsi="Arial" w:cs="Arial"/>
          <w:b/>
          <w:i/>
          <w:color w:val="000000" w:themeColor="text1"/>
        </w:rPr>
        <w:t>s</w:t>
      </w:r>
      <w:r w:rsidRPr="00FD4AD2">
        <w:rPr>
          <w:rStyle w:val="eop"/>
          <w:rFonts w:ascii="Arial" w:hAnsi="Arial" w:cs="Arial"/>
          <w:b/>
          <w:i/>
          <w:color w:val="000000" w:themeColor="text1"/>
        </w:rPr>
        <w:t> </w:t>
      </w:r>
    </w:p>
    <w:p w14:paraId="53128261" w14:textId="77777777" w:rsidR="00B47306" w:rsidRPr="000F2619" w:rsidRDefault="00B47306" w:rsidP="00B47306">
      <w:pPr>
        <w:pStyle w:val="paragraph"/>
        <w:spacing w:before="0" w:beforeAutospacing="0" w:after="0" w:afterAutospacing="0"/>
        <w:textAlignment w:val="baseline"/>
        <w:rPr>
          <w:rFonts w:ascii="Arial" w:hAnsi="Arial" w:cs="Arial"/>
          <w:b/>
          <w:bCs/>
          <w:sz w:val="22"/>
          <w:szCs w:val="22"/>
        </w:rPr>
      </w:pPr>
    </w:p>
    <w:tbl>
      <w:tblPr>
        <w:tblStyle w:val="TableGrid"/>
        <w:tblW w:w="0" w:type="auto"/>
        <w:tblLook w:val="04A0" w:firstRow="1" w:lastRow="0" w:firstColumn="1" w:lastColumn="0" w:noHBand="0" w:noVBand="1"/>
      </w:tblPr>
      <w:tblGrid>
        <w:gridCol w:w="1733"/>
        <w:gridCol w:w="1516"/>
        <w:gridCol w:w="1516"/>
        <w:gridCol w:w="1516"/>
        <w:gridCol w:w="1543"/>
        <w:gridCol w:w="1526"/>
      </w:tblGrid>
      <w:tr w:rsidR="00C97D97" w14:paraId="126D2629" w14:textId="77777777" w:rsidTr="003007CC">
        <w:trPr>
          <w:tblHeader/>
        </w:trPr>
        <w:tc>
          <w:tcPr>
            <w:tcW w:w="1558" w:type="dxa"/>
            <w:shd w:val="clear" w:color="auto" w:fill="D9D9D9" w:themeFill="background1" w:themeFillShade="D9"/>
            <w:vAlign w:val="center"/>
          </w:tcPr>
          <w:p w14:paraId="3D5EA32C"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b/>
                <w:bCs/>
              </w:rPr>
              <w:t>Race/Ethnicity Student Group</w:t>
            </w:r>
            <w:r w:rsidRPr="004B3B6B">
              <w:rPr>
                <w:rStyle w:val="eop"/>
                <w:rFonts w:ascii="Arial" w:eastAsiaTheme="majorEastAsia" w:hAnsi="Arial" w:cs="Arial"/>
              </w:rPr>
              <w:t> </w:t>
            </w:r>
          </w:p>
        </w:tc>
        <w:tc>
          <w:tcPr>
            <w:tcW w:w="1558" w:type="dxa"/>
            <w:shd w:val="clear" w:color="auto" w:fill="D9D9D9" w:themeFill="background1" w:themeFillShade="D9"/>
            <w:vAlign w:val="center"/>
          </w:tcPr>
          <w:p w14:paraId="72A69C15"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b/>
                <w:bCs/>
              </w:rPr>
              <w:t>2017–18 Counts</w:t>
            </w:r>
            <w:r w:rsidRPr="004B3B6B">
              <w:rPr>
                <w:rStyle w:val="eop"/>
                <w:rFonts w:ascii="Arial" w:eastAsiaTheme="majorEastAsia" w:hAnsi="Arial" w:cs="Arial"/>
              </w:rPr>
              <w:t> </w:t>
            </w:r>
          </w:p>
        </w:tc>
        <w:tc>
          <w:tcPr>
            <w:tcW w:w="1558" w:type="dxa"/>
            <w:shd w:val="clear" w:color="auto" w:fill="D9D9D9" w:themeFill="background1" w:themeFillShade="D9"/>
            <w:vAlign w:val="center"/>
          </w:tcPr>
          <w:p w14:paraId="7CBECE4E"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b/>
                <w:bCs/>
              </w:rPr>
              <w:t>2018–19 Counts</w:t>
            </w:r>
            <w:r w:rsidRPr="004B3B6B">
              <w:rPr>
                <w:rStyle w:val="eop"/>
                <w:rFonts w:ascii="Arial" w:eastAsiaTheme="majorEastAsia" w:hAnsi="Arial" w:cs="Arial"/>
              </w:rPr>
              <w:t> </w:t>
            </w:r>
          </w:p>
        </w:tc>
        <w:tc>
          <w:tcPr>
            <w:tcW w:w="1558" w:type="dxa"/>
            <w:shd w:val="clear" w:color="auto" w:fill="D9D9D9" w:themeFill="background1" w:themeFillShade="D9"/>
            <w:vAlign w:val="center"/>
          </w:tcPr>
          <w:p w14:paraId="3EFD9021"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b/>
                <w:bCs/>
                <w:color w:val="000000"/>
              </w:rPr>
              <w:t>2019</w:t>
            </w:r>
            <w:r w:rsidRPr="004B3B6B">
              <w:rPr>
                <w:rStyle w:val="normaltextrun"/>
                <w:rFonts w:ascii="Arial" w:eastAsiaTheme="majorEastAsia" w:hAnsi="Arial" w:cs="Arial"/>
                <w:b/>
                <w:bCs/>
              </w:rPr>
              <w:t>–</w:t>
            </w:r>
            <w:r w:rsidRPr="004B3B6B">
              <w:rPr>
                <w:rStyle w:val="normaltextrun"/>
                <w:rFonts w:ascii="Arial" w:eastAsiaTheme="majorEastAsia" w:hAnsi="Arial" w:cs="Arial"/>
                <w:b/>
                <w:bCs/>
                <w:color w:val="000000"/>
              </w:rPr>
              <w:t>20 Counts</w:t>
            </w:r>
            <w:r w:rsidRPr="004B3B6B">
              <w:rPr>
                <w:rStyle w:val="eop"/>
                <w:rFonts w:ascii="Arial" w:eastAsiaTheme="majorEastAsia" w:hAnsi="Arial" w:cs="Arial"/>
                <w:color w:val="000000"/>
              </w:rPr>
              <w:t> </w:t>
            </w:r>
          </w:p>
        </w:tc>
        <w:tc>
          <w:tcPr>
            <w:tcW w:w="1559" w:type="dxa"/>
            <w:shd w:val="clear" w:color="auto" w:fill="D9D9D9" w:themeFill="background1" w:themeFillShade="D9"/>
            <w:vAlign w:val="center"/>
          </w:tcPr>
          <w:p w14:paraId="208F1D54"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b/>
                <w:bCs/>
              </w:rPr>
              <w:t>Difference</w:t>
            </w:r>
            <w:r w:rsidRPr="004B3B6B">
              <w:rPr>
                <w:rStyle w:val="eop"/>
                <w:rFonts w:ascii="Arial" w:eastAsiaTheme="majorEastAsia" w:hAnsi="Arial" w:cs="Arial"/>
              </w:rPr>
              <w:t> </w:t>
            </w:r>
          </w:p>
          <w:p w14:paraId="2D64E31A"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b/>
                <w:bCs/>
              </w:rPr>
              <w:t>2017–18 to 2019–20</w:t>
            </w:r>
            <w:r w:rsidRPr="004B3B6B">
              <w:rPr>
                <w:rStyle w:val="eop"/>
                <w:rFonts w:ascii="Arial" w:eastAsiaTheme="majorEastAsia" w:hAnsi="Arial" w:cs="Arial"/>
              </w:rPr>
              <w:t> </w:t>
            </w:r>
          </w:p>
        </w:tc>
        <w:tc>
          <w:tcPr>
            <w:tcW w:w="1559" w:type="dxa"/>
            <w:shd w:val="clear" w:color="auto" w:fill="D9D9D9" w:themeFill="background1" w:themeFillShade="D9"/>
            <w:vAlign w:val="center"/>
          </w:tcPr>
          <w:p w14:paraId="12693025"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5D112D">
              <w:rPr>
                <w:rStyle w:val="normaltextrun"/>
                <w:rFonts w:ascii="Arial" w:eastAsiaTheme="majorEastAsia" w:hAnsi="Arial" w:cs="Arial"/>
                <w:b/>
                <w:bCs/>
              </w:rPr>
              <w:t>Percent Change </w:t>
            </w:r>
            <w:r w:rsidRPr="005D112D">
              <w:rPr>
                <w:rStyle w:val="eop"/>
                <w:rFonts w:ascii="Arial" w:eastAsiaTheme="majorEastAsia" w:hAnsi="Arial" w:cs="Arial"/>
              </w:rPr>
              <w:t> </w:t>
            </w:r>
          </w:p>
          <w:p w14:paraId="6868AACB"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5D112D">
              <w:rPr>
                <w:rStyle w:val="normaltextrun"/>
                <w:rFonts w:ascii="Arial" w:eastAsiaTheme="majorEastAsia" w:hAnsi="Arial" w:cs="Arial"/>
                <w:b/>
                <w:bCs/>
              </w:rPr>
              <w:t>2017–18 to 2019–20</w:t>
            </w:r>
            <w:r w:rsidRPr="005D112D">
              <w:rPr>
                <w:rStyle w:val="eop"/>
                <w:rFonts w:ascii="Arial" w:eastAsiaTheme="majorEastAsia" w:hAnsi="Arial" w:cs="Arial"/>
              </w:rPr>
              <w:t> </w:t>
            </w:r>
          </w:p>
        </w:tc>
      </w:tr>
      <w:tr w:rsidR="00C97D97" w14:paraId="6D70D644" w14:textId="77777777" w:rsidTr="003007CC">
        <w:tc>
          <w:tcPr>
            <w:tcW w:w="1558" w:type="dxa"/>
            <w:vAlign w:val="center"/>
          </w:tcPr>
          <w:p w14:paraId="005DA267" w14:textId="77777777" w:rsidR="00C97D97" w:rsidRPr="004B3B6B" w:rsidRDefault="00C97D97" w:rsidP="003007CC">
            <w:pPr>
              <w:pStyle w:val="paragraph"/>
              <w:spacing w:before="0" w:beforeAutospacing="0" w:after="0" w:afterAutospacing="0"/>
              <w:textAlignment w:val="baseline"/>
              <w:rPr>
                <w:rFonts w:ascii="Arial" w:hAnsi="Arial" w:cs="Arial"/>
              </w:rPr>
            </w:pPr>
            <w:r w:rsidRPr="004B3B6B">
              <w:rPr>
                <w:rStyle w:val="normaltextrun"/>
                <w:rFonts w:ascii="Arial" w:eastAsiaTheme="majorEastAsia" w:hAnsi="Arial" w:cs="Arial"/>
              </w:rPr>
              <w:t>African American</w:t>
            </w:r>
            <w:r w:rsidRPr="004B3B6B">
              <w:rPr>
                <w:rStyle w:val="eop"/>
                <w:rFonts w:ascii="Arial" w:eastAsiaTheme="majorEastAsia" w:hAnsi="Arial" w:cs="Arial"/>
              </w:rPr>
              <w:t> </w:t>
            </w:r>
          </w:p>
        </w:tc>
        <w:tc>
          <w:tcPr>
            <w:tcW w:w="1558" w:type="dxa"/>
            <w:vAlign w:val="center"/>
          </w:tcPr>
          <w:p w14:paraId="232C030A"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5D112D">
              <w:rPr>
                <w:rStyle w:val="normaltextrun"/>
                <w:rFonts w:ascii="Arial" w:eastAsiaTheme="majorEastAsia" w:hAnsi="Arial" w:cs="Arial"/>
              </w:rPr>
              <w:t>4,979</w:t>
            </w:r>
            <w:r w:rsidRPr="005D112D">
              <w:rPr>
                <w:rStyle w:val="eop"/>
                <w:rFonts w:ascii="Arial" w:eastAsiaTheme="majorEastAsia" w:hAnsi="Arial" w:cs="Arial"/>
              </w:rPr>
              <w:t> </w:t>
            </w:r>
          </w:p>
        </w:tc>
        <w:tc>
          <w:tcPr>
            <w:tcW w:w="1558" w:type="dxa"/>
            <w:vAlign w:val="center"/>
          </w:tcPr>
          <w:p w14:paraId="6A7D6442"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5D112D">
              <w:rPr>
                <w:rStyle w:val="normaltextrun"/>
                <w:rFonts w:ascii="Arial" w:eastAsiaTheme="majorEastAsia" w:hAnsi="Arial" w:cs="Arial"/>
              </w:rPr>
              <w:t>4,705</w:t>
            </w:r>
            <w:r w:rsidRPr="005D112D">
              <w:rPr>
                <w:rStyle w:val="eop"/>
                <w:rFonts w:ascii="Arial" w:eastAsiaTheme="majorEastAsia" w:hAnsi="Arial" w:cs="Arial"/>
              </w:rPr>
              <w:t> </w:t>
            </w:r>
          </w:p>
        </w:tc>
        <w:tc>
          <w:tcPr>
            <w:tcW w:w="1558" w:type="dxa"/>
            <w:vAlign w:val="center"/>
          </w:tcPr>
          <w:p w14:paraId="677C2718"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5D112D">
              <w:rPr>
                <w:rStyle w:val="normaltextrun"/>
                <w:rFonts w:ascii="Arial" w:eastAsiaTheme="majorEastAsia" w:hAnsi="Arial" w:cs="Arial"/>
                <w:color w:val="000000"/>
              </w:rPr>
              <w:t>3,792</w:t>
            </w:r>
            <w:r w:rsidRPr="005D112D">
              <w:rPr>
                <w:rStyle w:val="eop"/>
                <w:rFonts w:ascii="Arial" w:eastAsiaTheme="majorEastAsia" w:hAnsi="Arial" w:cs="Arial"/>
                <w:color w:val="000000"/>
              </w:rPr>
              <w:t> </w:t>
            </w:r>
          </w:p>
        </w:tc>
        <w:tc>
          <w:tcPr>
            <w:tcW w:w="1559" w:type="dxa"/>
            <w:vAlign w:val="center"/>
          </w:tcPr>
          <w:p w14:paraId="20F4ABDF"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5D112D">
              <w:rPr>
                <w:rStyle w:val="normaltextrun"/>
                <w:rFonts w:ascii="Arial" w:eastAsiaTheme="majorEastAsia" w:hAnsi="Arial" w:cs="Arial"/>
                <w:color w:val="000000"/>
              </w:rPr>
              <w:t>-1,187</w:t>
            </w:r>
            <w:r w:rsidRPr="005D112D">
              <w:rPr>
                <w:rStyle w:val="eop"/>
                <w:rFonts w:ascii="Arial" w:eastAsiaTheme="majorEastAsia" w:hAnsi="Arial" w:cs="Arial"/>
                <w:color w:val="000000"/>
              </w:rPr>
              <w:t> </w:t>
            </w:r>
          </w:p>
        </w:tc>
        <w:tc>
          <w:tcPr>
            <w:tcW w:w="1559" w:type="dxa"/>
            <w:vAlign w:val="center"/>
          </w:tcPr>
          <w:p w14:paraId="65724FEB"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5D112D">
              <w:rPr>
                <w:rStyle w:val="normaltextrun"/>
                <w:rFonts w:ascii="Arial" w:eastAsiaTheme="majorEastAsia" w:hAnsi="Arial" w:cs="Arial"/>
                <w:color w:val="000000"/>
              </w:rPr>
              <w:t>-23.8%</w:t>
            </w:r>
            <w:r w:rsidRPr="005D112D">
              <w:rPr>
                <w:rStyle w:val="eop"/>
                <w:rFonts w:ascii="Arial" w:eastAsiaTheme="majorEastAsia" w:hAnsi="Arial" w:cs="Arial"/>
                <w:color w:val="000000"/>
              </w:rPr>
              <w:t> </w:t>
            </w:r>
          </w:p>
        </w:tc>
      </w:tr>
      <w:tr w:rsidR="00C97D97" w14:paraId="422B671A" w14:textId="77777777" w:rsidTr="003007CC">
        <w:tc>
          <w:tcPr>
            <w:tcW w:w="1558" w:type="dxa"/>
            <w:vAlign w:val="center"/>
          </w:tcPr>
          <w:p w14:paraId="1CD8DE20" w14:textId="77777777" w:rsidR="00C97D97" w:rsidRPr="005D112D" w:rsidRDefault="00C97D97" w:rsidP="003007CC">
            <w:pPr>
              <w:pStyle w:val="paragraph"/>
              <w:spacing w:before="0" w:beforeAutospacing="0" w:after="0" w:afterAutospacing="0"/>
              <w:textAlignment w:val="baseline"/>
              <w:rPr>
                <w:rFonts w:ascii="Arial" w:hAnsi="Arial" w:cs="Arial"/>
              </w:rPr>
            </w:pPr>
            <w:r w:rsidRPr="005D112D">
              <w:rPr>
                <w:rStyle w:val="normaltextrun"/>
                <w:rFonts w:ascii="Arial" w:eastAsiaTheme="majorEastAsia" w:hAnsi="Arial" w:cs="Arial"/>
              </w:rPr>
              <w:t>American Indian or Alaska Native</w:t>
            </w:r>
            <w:r w:rsidRPr="005D112D">
              <w:rPr>
                <w:rStyle w:val="eop"/>
                <w:rFonts w:ascii="Arial" w:eastAsiaTheme="majorEastAsia" w:hAnsi="Arial" w:cs="Arial"/>
              </w:rPr>
              <w:t> </w:t>
            </w:r>
          </w:p>
        </w:tc>
        <w:tc>
          <w:tcPr>
            <w:tcW w:w="1558" w:type="dxa"/>
            <w:vAlign w:val="center"/>
          </w:tcPr>
          <w:p w14:paraId="46CE28FF"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5D112D">
              <w:rPr>
                <w:rStyle w:val="normaltextrun"/>
                <w:rFonts w:ascii="Arial" w:eastAsiaTheme="majorEastAsia" w:hAnsi="Arial" w:cs="Arial"/>
              </w:rPr>
              <w:t>550</w:t>
            </w:r>
            <w:r w:rsidRPr="005D112D">
              <w:rPr>
                <w:rStyle w:val="eop"/>
                <w:rFonts w:ascii="Arial" w:eastAsiaTheme="majorEastAsia" w:hAnsi="Arial" w:cs="Arial"/>
              </w:rPr>
              <w:t> </w:t>
            </w:r>
          </w:p>
        </w:tc>
        <w:tc>
          <w:tcPr>
            <w:tcW w:w="1558" w:type="dxa"/>
            <w:vAlign w:val="center"/>
          </w:tcPr>
          <w:p w14:paraId="6E07A164"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5D112D">
              <w:rPr>
                <w:rStyle w:val="normaltextrun"/>
                <w:rFonts w:ascii="Arial" w:eastAsiaTheme="majorEastAsia" w:hAnsi="Arial" w:cs="Arial"/>
              </w:rPr>
              <w:t>538</w:t>
            </w:r>
            <w:r w:rsidRPr="005D112D">
              <w:rPr>
                <w:rStyle w:val="eop"/>
                <w:rFonts w:ascii="Arial" w:eastAsiaTheme="majorEastAsia" w:hAnsi="Arial" w:cs="Arial"/>
              </w:rPr>
              <w:t> </w:t>
            </w:r>
          </w:p>
        </w:tc>
        <w:tc>
          <w:tcPr>
            <w:tcW w:w="1558" w:type="dxa"/>
            <w:vAlign w:val="center"/>
          </w:tcPr>
          <w:p w14:paraId="35C7629A"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5D112D">
              <w:rPr>
                <w:rStyle w:val="normaltextrun"/>
                <w:rFonts w:ascii="Arial" w:eastAsiaTheme="majorEastAsia" w:hAnsi="Arial" w:cs="Arial"/>
                <w:color w:val="000000"/>
              </w:rPr>
              <w:t>390</w:t>
            </w:r>
            <w:r w:rsidRPr="005D112D">
              <w:rPr>
                <w:rStyle w:val="eop"/>
                <w:rFonts w:ascii="Arial" w:eastAsiaTheme="majorEastAsia" w:hAnsi="Arial" w:cs="Arial"/>
                <w:color w:val="000000"/>
              </w:rPr>
              <w:t> </w:t>
            </w:r>
          </w:p>
        </w:tc>
        <w:tc>
          <w:tcPr>
            <w:tcW w:w="1559" w:type="dxa"/>
            <w:vAlign w:val="center"/>
          </w:tcPr>
          <w:p w14:paraId="3D1E8FBA"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5D112D">
              <w:rPr>
                <w:rStyle w:val="normaltextrun"/>
                <w:rFonts w:ascii="Arial" w:eastAsiaTheme="majorEastAsia" w:hAnsi="Arial" w:cs="Arial"/>
                <w:color w:val="000000"/>
              </w:rPr>
              <w:t>-160</w:t>
            </w:r>
            <w:r w:rsidRPr="005D112D">
              <w:rPr>
                <w:rStyle w:val="eop"/>
                <w:rFonts w:ascii="Arial" w:eastAsiaTheme="majorEastAsia" w:hAnsi="Arial" w:cs="Arial"/>
                <w:color w:val="000000"/>
              </w:rPr>
              <w:t> </w:t>
            </w:r>
          </w:p>
        </w:tc>
        <w:tc>
          <w:tcPr>
            <w:tcW w:w="1559" w:type="dxa"/>
            <w:vAlign w:val="center"/>
          </w:tcPr>
          <w:p w14:paraId="587CADFB"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5D112D">
              <w:rPr>
                <w:rStyle w:val="normaltextrun"/>
                <w:rFonts w:ascii="Arial" w:eastAsiaTheme="majorEastAsia" w:hAnsi="Arial" w:cs="Arial"/>
                <w:color w:val="000000"/>
              </w:rPr>
              <w:t>-29.1%</w:t>
            </w:r>
            <w:r w:rsidRPr="005D112D">
              <w:rPr>
                <w:rStyle w:val="eop"/>
                <w:rFonts w:ascii="Arial" w:eastAsiaTheme="majorEastAsia" w:hAnsi="Arial" w:cs="Arial"/>
                <w:color w:val="000000"/>
              </w:rPr>
              <w:t> </w:t>
            </w:r>
          </w:p>
        </w:tc>
      </w:tr>
      <w:tr w:rsidR="00C97D97" w14:paraId="6D0BA449" w14:textId="77777777" w:rsidTr="003007CC">
        <w:tc>
          <w:tcPr>
            <w:tcW w:w="1558" w:type="dxa"/>
            <w:vAlign w:val="center"/>
          </w:tcPr>
          <w:p w14:paraId="161F2006" w14:textId="77777777" w:rsidR="00C97D97" w:rsidRPr="005D112D" w:rsidRDefault="00C97D97" w:rsidP="003007CC">
            <w:pPr>
              <w:pStyle w:val="paragraph"/>
              <w:spacing w:before="0" w:beforeAutospacing="0" w:after="0" w:afterAutospacing="0"/>
              <w:textAlignment w:val="baseline"/>
              <w:rPr>
                <w:rFonts w:ascii="Arial" w:hAnsi="Arial" w:cs="Arial"/>
              </w:rPr>
            </w:pPr>
            <w:r w:rsidRPr="004B3B6B">
              <w:rPr>
                <w:rStyle w:val="normaltextrun"/>
                <w:rFonts w:ascii="Arial" w:eastAsiaTheme="majorEastAsia" w:hAnsi="Arial" w:cs="Arial"/>
              </w:rPr>
              <w:t>Asian</w:t>
            </w:r>
            <w:r w:rsidRPr="005D112D">
              <w:rPr>
                <w:rStyle w:val="eop"/>
                <w:rFonts w:ascii="Arial" w:eastAsiaTheme="majorEastAsia" w:hAnsi="Arial" w:cs="Arial"/>
              </w:rPr>
              <w:t> </w:t>
            </w:r>
          </w:p>
        </w:tc>
        <w:tc>
          <w:tcPr>
            <w:tcW w:w="1558" w:type="dxa"/>
            <w:vAlign w:val="center"/>
          </w:tcPr>
          <w:p w14:paraId="431C35E9"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5D112D">
              <w:rPr>
                <w:rStyle w:val="normaltextrun"/>
                <w:rFonts w:ascii="Arial" w:eastAsiaTheme="majorEastAsia" w:hAnsi="Arial" w:cs="Arial"/>
              </w:rPr>
              <w:t>828</w:t>
            </w:r>
            <w:r w:rsidRPr="005D112D">
              <w:rPr>
                <w:rStyle w:val="eop"/>
                <w:rFonts w:ascii="Arial" w:eastAsiaTheme="majorEastAsia" w:hAnsi="Arial" w:cs="Arial"/>
              </w:rPr>
              <w:t> </w:t>
            </w:r>
          </w:p>
        </w:tc>
        <w:tc>
          <w:tcPr>
            <w:tcW w:w="1558" w:type="dxa"/>
            <w:vAlign w:val="center"/>
          </w:tcPr>
          <w:p w14:paraId="2C4CFA2C"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5D112D">
              <w:rPr>
                <w:rStyle w:val="normaltextrun"/>
                <w:rFonts w:ascii="Arial" w:eastAsiaTheme="majorEastAsia" w:hAnsi="Arial" w:cs="Arial"/>
              </w:rPr>
              <w:t>911</w:t>
            </w:r>
            <w:r w:rsidRPr="005D112D">
              <w:rPr>
                <w:rStyle w:val="eop"/>
                <w:rFonts w:ascii="Arial" w:eastAsiaTheme="majorEastAsia" w:hAnsi="Arial" w:cs="Arial"/>
              </w:rPr>
              <w:t> </w:t>
            </w:r>
          </w:p>
        </w:tc>
        <w:tc>
          <w:tcPr>
            <w:tcW w:w="1558" w:type="dxa"/>
            <w:vAlign w:val="center"/>
          </w:tcPr>
          <w:p w14:paraId="20262B40"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5D112D">
              <w:rPr>
                <w:rStyle w:val="normaltextrun"/>
                <w:rFonts w:ascii="Arial" w:eastAsiaTheme="majorEastAsia" w:hAnsi="Arial" w:cs="Arial"/>
                <w:color w:val="000000"/>
              </w:rPr>
              <w:t>730</w:t>
            </w:r>
            <w:r w:rsidRPr="005D112D">
              <w:rPr>
                <w:rStyle w:val="eop"/>
                <w:rFonts w:ascii="Arial" w:eastAsiaTheme="majorEastAsia" w:hAnsi="Arial" w:cs="Arial"/>
                <w:color w:val="000000"/>
              </w:rPr>
              <w:t> </w:t>
            </w:r>
          </w:p>
        </w:tc>
        <w:tc>
          <w:tcPr>
            <w:tcW w:w="1559" w:type="dxa"/>
            <w:vAlign w:val="center"/>
          </w:tcPr>
          <w:p w14:paraId="7355F1BE"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5D112D">
              <w:rPr>
                <w:rStyle w:val="normaltextrun"/>
                <w:rFonts w:ascii="Arial" w:eastAsiaTheme="majorEastAsia" w:hAnsi="Arial" w:cs="Arial"/>
                <w:color w:val="000000"/>
              </w:rPr>
              <w:t>-98</w:t>
            </w:r>
            <w:r w:rsidRPr="005D112D">
              <w:rPr>
                <w:rStyle w:val="eop"/>
                <w:rFonts w:ascii="Arial" w:eastAsiaTheme="majorEastAsia" w:hAnsi="Arial" w:cs="Arial"/>
                <w:color w:val="000000"/>
              </w:rPr>
              <w:t> </w:t>
            </w:r>
          </w:p>
        </w:tc>
        <w:tc>
          <w:tcPr>
            <w:tcW w:w="1559" w:type="dxa"/>
            <w:vAlign w:val="center"/>
          </w:tcPr>
          <w:p w14:paraId="4327E868"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-11.8%</w:t>
            </w:r>
            <w:r w:rsidRPr="004B3B6B">
              <w:rPr>
                <w:rStyle w:val="eop"/>
                <w:rFonts w:ascii="Arial" w:eastAsiaTheme="majorEastAsia" w:hAnsi="Arial" w:cs="Arial"/>
                <w:color w:val="000000"/>
              </w:rPr>
              <w:t> </w:t>
            </w:r>
          </w:p>
        </w:tc>
      </w:tr>
      <w:tr w:rsidR="00C97D97" w14:paraId="10E4DFA9" w14:textId="77777777" w:rsidTr="003007CC">
        <w:tc>
          <w:tcPr>
            <w:tcW w:w="1558" w:type="dxa"/>
            <w:vAlign w:val="center"/>
          </w:tcPr>
          <w:p w14:paraId="72AA81CC" w14:textId="77777777" w:rsidR="00C97D97" w:rsidRPr="004B3B6B" w:rsidRDefault="00C97D97" w:rsidP="003007CC">
            <w:pPr>
              <w:pStyle w:val="paragraph"/>
              <w:spacing w:before="0" w:beforeAutospacing="0" w:after="0" w:afterAutospacing="0"/>
              <w:textAlignment w:val="baseline"/>
              <w:rPr>
                <w:rFonts w:ascii="Arial" w:hAnsi="Arial" w:cs="Arial"/>
              </w:rPr>
            </w:pPr>
            <w:r w:rsidRPr="004B3B6B">
              <w:rPr>
                <w:rStyle w:val="normaltextrun"/>
                <w:rFonts w:ascii="Arial" w:eastAsiaTheme="majorEastAsia" w:hAnsi="Arial" w:cs="Arial"/>
              </w:rPr>
              <w:t>Filipino</w:t>
            </w:r>
            <w:r w:rsidRPr="004B3B6B">
              <w:rPr>
                <w:rStyle w:val="eop"/>
                <w:rFonts w:ascii="Arial" w:eastAsiaTheme="majorEastAsia" w:hAnsi="Arial" w:cs="Arial"/>
              </w:rPr>
              <w:t> </w:t>
            </w:r>
          </w:p>
        </w:tc>
        <w:tc>
          <w:tcPr>
            <w:tcW w:w="1558" w:type="dxa"/>
            <w:vAlign w:val="center"/>
          </w:tcPr>
          <w:p w14:paraId="124263ED"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380</w:t>
            </w:r>
            <w:r w:rsidRPr="004B3B6B">
              <w:rPr>
                <w:rStyle w:val="eop"/>
                <w:rFonts w:ascii="Arial" w:eastAsiaTheme="majorEastAsia" w:hAnsi="Arial" w:cs="Arial"/>
              </w:rPr>
              <w:t> </w:t>
            </w:r>
          </w:p>
        </w:tc>
        <w:tc>
          <w:tcPr>
            <w:tcW w:w="1558" w:type="dxa"/>
            <w:vAlign w:val="center"/>
          </w:tcPr>
          <w:p w14:paraId="18003578" w14:textId="77777777" w:rsidR="00C97D97" w:rsidRPr="005D112D"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383</w:t>
            </w:r>
            <w:r w:rsidRPr="005D112D">
              <w:rPr>
                <w:rStyle w:val="eop"/>
                <w:rFonts w:ascii="Arial" w:eastAsiaTheme="majorEastAsia" w:hAnsi="Arial" w:cs="Arial"/>
              </w:rPr>
              <w:t> </w:t>
            </w:r>
          </w:p>
        </w:tc>
        <w:tc>
          <w:tcPr>
            <w:tcW w:w="1558" w:type="dxa"/>
            <w:vAlign w:val="center"/>
          </w:tcPr>
          <w:p w14:paraId="5B10032D"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331</w:t>
            </w:r>
            <w:r w:rsidRPr="004B3B6B">
              <w:rPr>
                <w:rStyle w:val="eop"/>
                <w:rFonts w:ascii="Arial" w:eastAsiaTheme="majorEastAsia" w:hAnsi="Arial" w:cs="Arial"/>
                <w:color w:val="000000"/>
              </w:rPr>
              <w:t> </w:t>
            </w:r>
          </w:p>
        </w:tc>
        <w:tc>
          <w:tcPr>
            <w:tcW w:w="1559" w:type="dxa"/>
            <w:vAlign w:val="center"/>
          </w:tcPr>
          <w:p w14:paraId="1056B33C"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-49</w:t>
            </w:r>
            <w:r w:rsidRPr="004B3B6B">
              <w:rPr>
                <w:rStyle w:val="eop"/>
                <w:rFonts w:ascii="Arial" w:eastAsiaTheme="majorEastAsia" w:hAnsi="Arial" w:cs="Arial"/>
                <w:color w:val="000000"/>
              </w:rPr>
              <w:t> </w:t>
            </w:r>
          </w:p>
        </w:tc>
        <w:tc>
          <w:tcPr>
            <w:tcW w:w="1559" w:type="dxa"/>
            <w:vAlign w:val="center"/>
          </w:tcPr>
          <w:p w14:paraId="6926CF20"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-12.9%</w:t>
            </w:r>
            <w:r w:rsidRPr="004B3B6B">
              <w:rPr>
                <w:rStyle w:val="eop"/>
                <w:rFonts w:ascii="Arial" w:eastAsiaTheme="majorEastAsia" w:hAnsi="Arial" w:cs="Arial"/>
                <w:color w:val="000000"/>
              </w:rPr>
              <w:t> </w:t>
            </w:r>
          </w:p>
        </w:tc>
      </w:tr>
      <w:tr w:rsidR="00C97D97" w14:paraId="4BE94087" w14:textId="77777777" w:rsidTr="003007CC">
        <w:tc>
          <w:tcPr>
            <w:tcW w:w="1558" w:type="dxa"/>
            <w:vAlign w:val="center"/>
          </w:tcPr>
          <w:p w14:paraId="3765127D" w14:textId="77777777" w:rsidR="00C97D97" w:rsidRPr="004B3B6B" w:rsidRDefault="00C97D97" w:rsidP="003007CC">
            <w:pPr>
              <w:pStyle w:val="paragraph"/>
              <w:spacing w:before="0" w:beforeAutospacing="0" w:after="0" w:afterAutospacing="0"/>
              <w:textAlignment w:val="baseline"/>
              <w:rPr>
                <w:rFonts w:ascii="Arial" w:hAnsi="Arial" w:cs="Arial"/>
              </w:rPr>
            </w:pPr>
            <w:r w:rsidRPr="004B3B6B">
              <w:rPr>
                <w:rStyle w:val="normaltextrun"/>
                <w:rFonts w:ascii="Arial" w:eastAsiaTheme="majorEastAsia" w:hAnsi="Arial" w:cs="Arial"/>
              </w:rPr>
              <w:t>Hispanic or Latino</w:t>
            </w:r>
            <w:r w:rsidRPr="004B3B6B">
              <w:rPr>
                <w:rStyle w:val="eop"/>
                <w:rFonts w:ascii="Arial" w:eastAsiaTheme="majorEastAsia" w:hAnsi="Arial" w:cs="Arial"/>
              </w:rPr>
              <w:t> </w:t>
            </w:r>
          </w:p>
        </w:tc>
        <w:tc>
          <w:tcPr>
            <w:tcW w:w="1558" w:type="dxa"/>
            <w:vAlign w:val="center"/>
          </w:tcPr>
          <w:p w14:paraId="3B8312D0"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31,725</w:t>
            </w:r>
            <w:r w:rsidRPr="004B3B6B">
              <w:rPr>
                <w:rStyle w:val="eop"/>
                <w:rFonts w:ascii="Arial" w:eastAsiaTheme="majorEastAsia" w:hAnsi="Arial" w:cs="Arial"/>
              </w:rPr>
              <w:t> </w:t>
            </w:r>
          </w:p>
        </w:tc>
        <w:tc>
          <w:tcPr>
            <w:tcW w:w="1558" w:type="dxa"/>
            <w:vAlign w:val="center"/>
          </w:tcPr>
          <w:p w14:paraId="2E758164"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31,922</w:t>
            </w:r>
            <w:r w:rsidRPr="004B3B6B">
              <w:rPr>
                <w:rStyle w:val="eop"/>
                <w:rFonts w:ascii="Arial" w:eastAsiaTheme="majorEastAsia" w:hAnsi="Arial" w:cs="Arial"/>
              </w:rPr>
              <w:t> </w:t>
            </w:r>
          </w:p>
        </w:tc>
        <w:tc>
          <w:tcPr>
            <w:tcW w:w="1558" w:type="dxa"/>
            <w:vAlign w:val="center"/>
          </w:tcPr>
          <w:p w14:paraId="6CF1AC45"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27,528</w:t>
            </w:r>
            <w:r w:rsidRPr="004B3B6B">
              <w:rPr>
                <w:rStyle w:val="eop"/>
                <w:rFonts w:ascii="Arial" w:eastAsiaTheme="majorEastAsia" w:hAnsi="Arial" w:cs="Arial"/>
                <w:color w:val="000000"/>
              </w:rPr>
              <w:t> </w:t>
            </w:r>
          </w:p>
        </w:tc>
        <w:tc>
          <w:tcPr>
            <w:tcW w:w="1559" w:type="dxa"/>
            <w:vAlign w:val="center"/>
          </w:tcPr>
          <w:p w14:paraId="0E6AD632"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-4,197</w:t>
            </w:r>
            <w:r w:rsidRPr="004B3B6B">
              <w:rPr>
                <w:rStyle w:val="eop"/>
                <w:rFonts w:ascii="Arial" w:eastAsiaTheme="majorEastAsia" w:hAnsi="Arial" w:cs="Arial"/>
                <w:color w:val="000000"/>
              </w:rPr>
              <w:t> </w:t>
            </w:r>
          </w:p>
        </w:tc>
        <w:tc>
          <w:tcPr>
            <w:tcW w:w="1559" w:type="dxa"/>
            <w:vAlign w:val="center"/>
          </w:tcPr>
          <w:p w14:paraId="33A7EAD8"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-13.2%</w:t>
            </w:r>
            <w:r w:rsidRPr="004B3B6B">
              <w:rPr>
                <w:rStyle w:val="eop"/>
                <w:rFonts w:ascii="Arial" w:eastAsiaTheme="majorEastAsia" w:hAnsi="Arial" w:cs="Arial"/>
                <w:color w:val="000000"/>
              </w:rPr>
              <w:t> </w:t>
            </w:r>
          </w:p>
        </w:tc>
      </w:tr>
      <w:tr w:rsidR="00C97D97" w14:paraId="34F77773" w14:textId="77777777" w:rsidTr="003007CC">
        <w:tc>
          <w:tcPr>
            <w:tcW w:w="1558" w:type="dxa"/>
            <w:vAlign w:val="center"/>
          </w:tcPr>
          <w:p w14:paraId="4E5D4FA3" w14:textId="77777777" w:rsidR="00C97D97" w:rsidRPr="004B3B6B" w:rsidRDefault="00C97D97" w:rsidP="003007CC">
            <w:pPr>
              <w:pStyle w:val="paragraph"/>
              <w:spacing w:before="0" w:beforeAutospacing="0" w:after="0" w:afterAutospacing="0"/>
              <w:textAlignment w:val="baseline"/>
              <w:rPr>
                <w:rFonts w:ascii="Arial" w:hAnsi="Arial" w:cs="Arial"/>
              </w:rPr>
            </w:pPr>
            <w:r w:rsidRPr="004B3B6B">
              <w:rPr>
                <w:rStyle w:val="normaltextrun"/>
                <w:rFonts w:ascii="Arial" w:eastAsiaTheme="majorEastAsia" w:hAnsi="Arial" w:cs="Arial"/>
              </w:rPr>
              <w:t>Native Hawaiian or Pacific Islander</w:t>
            </w:r>
            <w:r w:rsidRPr="004B3B6B">
              <w:rPr>
                <w:rStyle w:val="eop"/>
                <w:rFonts w:ascii="Arial" w:eastAsiaTheme="majorEastAsia" w:hAnsi="Arial" w:cs="Arial"/>
              </w:rPr>
              <w:t> </w:t>
            </w:r>
          </w:p>
        </w:tc>
        <w:tc>
          <w:tcPr>
            <w:tcW w:w="1558" w:type="dxa"/>
            <w:vAlign w:val="center"/>
          </w:tcPr>
          <w:p w14:paraId="6CC4FCD3"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291</w:t>
            </w:r>
            <w:r w:rsidRPr="004B3B6B">
              <w:rPr>
                <w:rStyle w:val="eop"/>
                <w:rFonts w:ascii="Arial" w:eastAsiaTheme="majorEastAsia" w:hAnsi="Arial" w:cs="Arial"/>
              </w:rPr>
              <w:t> </w:t>
            </w:r>
          </w:p>
        </w:tc>
        <w:tc>
          <w:tcPr>
            <w:tcW w:w="1558" w:type="dxa"/>
            <w:vAlign w:val="center"/>
          </w:tcPr>
          <w:p w14:paraId="5C2417F9"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266</w:t>
            </w:r>
            <w:r w:rsidRPr="004B3B6B">
              <w:rPr>
                <w:rStyle w:val="eop"/>
                <w:rFonts w:ascii="Arial" w:eastAsiaTheme="majorEastAsia" w:hAnsi="Arial" w:cs="Arial"/>
              </w:rPr>
              <w:t> </w:t>
            </w:r>
          </w:p>
        </w:tc>
        <w:tc>
          <w:tcPr>
            <w:tcW w:w="1558" w:type="dxa"/>
            <w:vAlign w:val="center"/>
          </w:tcPr>
          <w:p w14:paraId="6FB885E5"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197</w:t>
            </w:r>
            <w:r w:rsidRPr="004B3B6B">
              <w:rPr>
                <w:rStyle w:val="eop"/>
                <w:rFonts w:ascii="Arial" w:eastAsiaTheme="majorEastAsia" w:hAnsi="Arial" w:cs="Arial"/>
                <w:color w:val="000000"/>
              </w:rPr>
              <w:t> </w:t>
            </w:r>
          </w:p>
        </w:tc>
        <w:tc>
          <w:tcPr>
            <w:tcW w:w="1559" w:type="dxa"/>
            <w:vAlign w:val="center"/>
          </w:tcPr>
          <w:p w14:paraId="14F58540"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-94</w:t>
            </w:r>
            <w:r w:rsidRPr="004B3B6B">
              <w:rPr>
                <w:rStyle w:val="eop"/>
                <w:rFonts w:ascii="Arial" w:eastAsiaTheme="majorEastAsia" w:hAnsi="Arial" w:cs="Arial"/>
                <w:color w:val="000000"/>
              </w:rPr>
              <w:t> </w:t>
            </w:r>
          </w:p>
        </w:tc>
        <w:tc>
          <w:tcPr>
            <w:tcW w:w="1559" w:type="dxa"/>
            <w:vAlign w:val="center"/>
          </w:tcPr>
          <w:p w14:paraId="2A05A0D3"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-32.3%</w:t>
            </w:r>
            <w:r w:rsidRPr="004B3B6B">
              <w:rPr>
                <w:rStyle w:val="eop"/>
                <w:rFonts w:ascii="Arial" w:eastAsiaTheme="majorEastAsia" w:hAnsi="Arial" w:cs="Arial"/>
                <w:color w:val="000000"/>
              </w:rPr>
              <w:t> </w:t>
            </w:r>
          </w:p>
        </w:tc>
      </w:tr>
      <w:tr w:rsidR="00C97D97" w14:paraId="3C99FEDB" w14:textId="77777777" w:rsidTr="003007CC">
        <w:tc>
          <w:tcPr>
            <w:tcW w:w="1558" w:type="dxa"/>
            <w:vAlign w:val="center"/>
          </w:tcPr>
          <w:p w14:paraId="14AE447B" w14:textId="77777777" w:rsidR="00C97D97" w:rsidRPr="004B3B6B" w:rsidRDefault="00C97D97" w:rsidP="003007CC">
            <w:pPr>
              <w:pStyle w:val="paragraph"/>
              <w:spacing w:before="0" w:beforeAutospacing="0" w:after="0" w:afterAutospacing="0"/>
              <w:textAlignment w:val="baseline"/>
              <w:rPr>
                <w:rFonts w:ascii="Arial" w:hAnsi="Arial" w:cs="Arial"/>
              </w:rPr>
            </w:pPr>
            <w:r w:rsidRPr="004B3B6B">
              <w:rPr>
                <w:rStyle w:val="normaltextrun"/>
                <w:rFonts w:ascii="Arial" w:eastAsiaTheme="majorEastAsia" w:hAnsi="Arial" w:cs="Arial"/>
              </w:rPr>
              <w:t>White</w:t>
            </w:r>
            <w:r w:rsidRPr="004B3B6B">
              <w:rPr>
                <w:rStyle w:val="eop"/>
                <w:rFonts w:ascii="Arial" w:eastAsiaTheme="majorEastAsia" w:hAnsi="Arial" w:cs="Arial"/>
              </w:rPr>
              <w:t> </w:t>
            </w:r>
          </w:p>
        </w:tc>
        <w:tc>
          <w:tcPr>
            <w:tcW w:w="1558" w:type="dxa"/>
            <w:vAlign w:val="center"/>
          </w:tcPr>
          <w:p w14:paraId="7C85E405"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8,078</w:t>
            </w:r>
            <w:r w:rsidRPr="004B3B6B">
              <w:rPr>
                <w:rStyle w:val="eop"/>
                <w:rFonts w:ascii="Arial" w:eastAsiaTheme="majorEastAsia" w:hAnsi="Arial" w:cs="Arial"/>
              </w:rPr>
              <w:t> </w:t>
            </w:r>
          </w:p>
        </w:tc>
        <w:tc>
          <w:tcPr>
            <w:tcW w:w="1558" w:type="dxa"/>
            <w:vAlign w:val="center"/>
          </w:tcPr>
          <w:p w14:paraId="37897CA4"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7,854</w:t>
            </w:r>
            <w:r w:rsidRPr="004B3B6B">
              <w:rPr>
                <w:rStyle w:val="eop"/>
                <w:rFonts w:ascii="Arial" w:eastAsiaTheme="majorEastAsia" w:hAnsi="Arial" w:cs="Arial"/>
              </w:rPr>
              <w:t> </w:t>
            </w:r>
          </w:p>
        </w:tc>
        <w:tc>
          <w:tcPr>
            <w:tcW w:w="1558" w:type="dxa"/>
            <w:vAlign w:val="center"/>
          </w:tcPr>
          <w:p w14:paraId="307F7DEA"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5,928</w:t>
            </w:r>
            <w:r w:rsidRPr="004B3B6B">
              <w:rPr>
                <w:rStyle w:val="eop"/>
                <w:rFonts w:ascii="Arial" w:eastAsiaTheme="majorEastAsia" w:hAnsi="Arial" w:cs="Arial"/>
                <w:color w:val="000000"/>
              </w:rPr>
              <w:t> </w:t>
            </w:r>
          </w:p>
        </w:tc>
        <w:tc>
          <w:tcPr>
            <w:tcW w:w="1559" w:type="dxa"/>
            <w:vAlign w:val="center"/>
          </w:tcPr>
          <w:p w14:paraId="260E47C9"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-2,150</w:t>
            </w:r>
            <w:r w:rsidRPr="004B3B6B">
              <w:rPr>
                <w:rStyle w:val="eop"/>
                <w:rFonts w:ascii="Arial" w:eastAsiaTheme="majorEastAsia" w:hAnsi="Arial" w:cs="Arial"/>
                <w:color w:val="000000"/>
              </w:rPr>
              <w:t> </w:t>
            </w:r>
          </w:p>
        </w:tc>
        <w:tc>
          <w:tcPr>
            <w:tcW w:w="1559" w:type="dxa"/>
            <w:vAlign w:val="center"/>
          </w:tcPr>
          <w:p w14:paraId="0CE4B254"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-26.6%</w:t>
            </w:r>
            <w:r w:rsidRPr="004B3B6B">
              <w:rPr>
                <w:rStyle w:val="eop"/>
                <w:rFonts w:ascii="Arial" w:eastAsiaTheme="majorEastAsia" w:hAnsi="Arial" w:cs="Arial"/>
                <w:color w:val="000000"/>
              </w:rPr>
              <w:t> </w:t>
            </w:r>
          </w:p>
        </w:tc>
      </w:tr>
      <w:tr w:rsidR="00C97D97" w14:paraId="12FF33D5" w14:textId="77777777" w:rsidTr="003007CC">
        <w:tc>
          <w:tcPr>
            <w:tcW w:w="1558" w:type="dxa"/>
            <w:vAlign w:val="center"/>
          </w:tcPr>
          <w:p w14:paraId="7AD2F631" w14:textId="77777777" w:rsidR="00C97D97" w:rsidRPr="004B3B6B" w:rsidRDefault="00C97D97" w:rsidP="003007CC">
            <w:pPr>
              <w:pStyle w:val="paragraph"/>
              <w:spacing w:before="0" w:beforeAutospacing="0" w:after="0" w:afterAutospacing="0"/>
              <w:textAlignment w:val="baseline"/>
              <w:rPr>
                <w:rFonts w:ascii="Arial" w:hAnsi="Arial" w:cs="Arial"/>
              </w:rPr>
            </w:pPr>
            <w:r w:rsidRPr="004B3B6B">
              <w:rPr>
                <w:rStyle w:val="normaltextrun"/>
                <w:rFonts w:ascii="Arial" w:eastAsiaTheme="majorEastAsia" w:hAnsi="Arial" w:cs="Arial"/>
              </w:rPr>
              <w:t>Two or More Races</w:t>
            </w:r>
            <w:r w:rsidRPr="004B3B6B">
              <w:rPr>
                <w:rStyle w:val="eop"/>
                <w:rFonts w:ascii="Arial" w:eastAsiaTheme="majorEastAsia" w:hAnsi="Arial" w:cs="Arial"/>
              </w:rPr>
              <w:t> </w:t>
            </w:r>
          </w:p>
        </w:tc>
        <w:tc>
          <w:tcPr>
            <w:tcW w:w="1558" w:type="dxa"/>
            <w:vAlign w:val="center"/>
          </w:tcPr>
          <w:p w14:paraId="0A3B9F74"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1,180</w:t>
            </w:r>
            <w:r w:rsidRPr="004B3B6B">
              <w:rPr>
                <w:rStyle w:val="eop"/>
                <w:rFonts w:ascii="Arial" w:eastAsiaTheme="majorEastAsia" w:hAnsi="Arial" w:cs="Arial"/>
              </w:rPr>
              <w:t> </w:t>
            </w:r>
          </w:p>
        </w:tc>
        <w:tc>
          <w:tcPr>
            <w:tcW w:w="1558" w:type="dxa"/>
            <w:vAlign w:val="center"/>
          </w:tcPr>
          <w:p w14:paraId="2C60DD1D"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1,169</w:t>
            </w:r>
            <w:r w:rsidRPr="004B3B6B">
              <w:rPr>
                <w:rStyle w:val="eop"/>
                <w:rFonts w:ascii="Arial" w:eastAsiaTheme="majorEastAsia" w:hAnsi="Arial" w:cs="Arial"/>
              </w:rPr>
              <w:t> </w:t>
            </w:r>
          </w:p>
        </w:tc>
        <w:tc>
          <w:tcPr>
            <w:tcW w:w="1558" w:type="dxa"/>
            <w:vAlign w:val="center"/>
          </w:tcPr>
          <w:p w14:paraId="1B0F6F50"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1,091</w:t>
            </w:r>
            <w:r w:rsidRPr="004B3B6B">
              <w:rPr>
                <w:rStyle w:val="eop"/>
                <w:rFonts w:ascii="Arial" w:eastAsiaTheme="majorEastAsia" w:hAnsi="Arial" w:cs="Arial"/>
                <w:color w:val="000000"/>
              </w:rPr>
              <w:t> </w:t>
            </w:r>
          </w:p>
        </w:tc>
        <w:tc>
          <w:tcPr>
            <w:tcW w:w="1559" w:type="dxa"/>
            <w:vAlign w:val="center"/>
          </w:tcPr>
          <w:p w14:paraId="3A2E185E"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-89</w:t>
            </w:r>
            <w:r w:rsidRPr="004B3B6B">
              <w:rPr>
                <w:rStyle w:val="eop"/>
                <w:rFonts w:ascii="Arial" w:eastAsiaTheme="majorEastAsia" w:hAnsi="Arial" w:cs="Arial"/>
                <w:color w:val="000000"/>
              </w:rPr>
              <w:t> </w:t>
            </w:r>
          </w:p>
        </w:tc>
        <w:tc>
          <w:tcPr>
            <w:tcW w:w="1559" w:type="dxa"/>
            <w:vAlign w:val="center"/>
          </w:tcPr>
          <w:p w14:paraId="1569B2DB"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-7.5%</w:t>
            </w:r>
            <w:r w:rsidRPr="004B3B6B">
              <w:rPr>
                <w:rStyle w:val="eop"/>
                <w:rFonts w:ascii="Arial" w:eastAsiaTheme="majorEastAsia" w:hAnsi="Arial" w:cs="Arial"/>
                <w:color w:val="000000"/>
              </w:rPr>
              <w:t> </w:t>
            </w:r>
          </w:p>
        </w:tc>
      </w:tr>
      <w:tr w:rsidR="00C97D97" w14:paraId="61CE0B39" w14:textId="77777777" w:rsidTr="003007CC">
        <w:tc>
          <w:tcPr>
            <w:tcW w:w="1558" w:type="dxa"/>
            <w:vAlign w:val="center"/>
          </w:tcPr>
          <w:p w14:paraId="637435AA" w14:textId="77777777" w:rsidR="00C97D97" w:rsidRPr="004B3B6B" w:rsidRDefault="00C97D97" w:rsidP="003007CC">
            <w:pPr>
              <w:pStyle w:val="paragraph"/>
              <w:spacing w:before="0" w:beforeAutospacing="0" w:after="0" w:afterAutospacing="0"/>
              <w:textAlignment w:val="baseline"/>
              <w:rPr>
                <w:rFonts w:ascii="Arial" w:hAnsi="Arial" w:cs="Arial"/>
              </w:rPr>
            </w:pPr>
            <w:r w:rsidRPr="004B3B6B">
              <w:rPr>
                <w:rStyle w:val="normaltextrun"/>
                <w:rFonts w:ascii="Arial" w:eastAsiaTheme="majorEastAsia" w:hAnsi="Arial" w:cs="Arial"/>
              </w:rPr>
              <w:t>All Students</w:t>
            </w:r>
            <w:r w:rsidRPr="004B3B6B">
              <w:rPr>
                <w:rStyle w:val="eop"/>
                <w:rFonts w:ascii="Arial" w:eastAsiaTheme="majorEastAsia" w:hAnsi="Arial" w:cs="Arial"/>
              </w:rPr>
              <w:t> </w:t>
            </w:r>
          </w:p>
        </w:tc>
        <w:tc>
          <w:tcPr>
            <w:tcW w:w="1558" w:type="dxa"/>
            <w:vAlign w:val="center"/>
          </w:tcPr>
          <w:p w14:paraId="7C3B98F0"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D94ED6">
              <w:rPr>
                <w:rStyle w:val="normaltextrun"/>
                <w:rFonts w:ascii="Arial" w:eastAsiaTheme="majorEastAsia" w:hAnsi="Arial" w:cs="Arial"/>
              </w:rPr>
              <w:t>48,011</w:t>
            </w:r>
            <w:r w:rsidRPr="00D94ED6">
              <w:rPr>
                <w:rStyle w:val="eop"/>
                <w:rFonts w:ascii="Arial" w:eastAsiaTheme="majorEastAsia" w:hAnsi="Arial" w:cs="Arial"/>
              </w:rPr>
              <w:t> </w:t>
            </w:r>
          </w:p>
        </w:tc>
        <w:tc>
          <w:tcPr>
            <w:tcW w:w="1558" w:type="dxa"/>
            <w:vAlign w:val="center"/>
          </w:tcPr>
          <w:p w14:paraId="15673BC2"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D94ED6">
              <w:rPr>
                <w:rStyle w:val="normaltextrun"/>
                <w:rFonts w:ascii="Arial" w:eastAsiaTheme="majorEastAsia" w:hAnsi="Arial" w:cs="Arial"/>
              </w:rPr>
              <w:t>47,748</w:t>
            </w:r>
            <w:r w:rsidRPr="00D94ED6">
              <w:rPr>
                <w:rStyle w:val="eop"/>
                <w:rFonts w:ascii="Arial" w:eastAsiaTheme="majorEastAsia" w:hAnsi="Arial" w:cs="Arial"/>
              </w:rPr>
              <w:t> </w:t>
            </w:r>
          </w:p>
        </w:tc>
        <w:tc>
          <w:tcPr>
            <w:tcW w:w="1558" w:type="dxa"/>
            <w:vAlign w:val="center"/>
          </w:tcPr>
          <w:p w14:paraId="346C2BAA"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D94ED6">
              <w:rPr>
                <w:rStyle w:val="normaltextrun"/>
                <w:rFonts w:ascii="Arial" w:eastAsiaTheme="majorEastAsia" w:hAnsi="Arial" w:cs="Arial"/>
                <w:color w:val="000000"/>
              </w:rPr>
              <w:t>39,987</w:t>
            </w:r>
            <w:r w:rsidRPr="00D94ED6">
              <w:rPr>
                <w:rStyle w:val="eop"/>
                <w:rFonts w:ascii="Arial" w:eastAsiaTheme="majorEastAsia" w:hAnsi="Arial" w:cs="Arial"/>
                <w:color w:val="000000"/>
              </w:rPr>
              <w:t> </w:t>
            </w:r>
          </w:p>
        </w:tc>
        <w:tc>
          <w:tcPr>
            <w:tcW w:w="1559" w:type="dxa"/>
            <w:vAlign w:val="center"/>
          </w:tcPr>
          <w:p w14:paraId="34D3D65A"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D94ED6">
              <w:rPr>
                <w:rStyle w:val="normaltextrun"/>
                <w:rFonts w:ascii="Arial" w:eastAsiaTheme="majorEastAsia" w:hAnsi="Arial" w:cs="Arial"/>
                <w:color w:val="000000"/>
              </w:rPr>
              <w:t>-8,024</w:t>
            </w:r>
            <w:r w:rsidRPr="00D94ED6">
              <w:rPr>
                <w:rStyle w:val="eop"/>
                <w:rFonts w:ascii="Arial" w:eastAsiaTheme="majorEastAsia" w:hAnsi="Arial" w:cs="Arial"/>
                <w:color w:val="000000"/>
              </w:rPr>
              <w:t> </w:t>
            </w:r>
          </w:p>
        </w:tc>
        <w:tc>
          <w:tcPr>
            <w:tcW w:w="1559" w:type="dxa"/>
            <w:vAlign w:val="center"/>
          </w:tcPr>
          <w:p w14:paraId="3DD2FA03" w14:textId="77777777" w:rsidR="00C97D97" w:rsidRPr="004B3B6B" w:rsidRDefault="00C97D97" w:rsidP="003007CC">
            <w:pPr>
              <w:pStyle w:val="paragraph"/>
              <w:spacing w:before="0" w:beforeAutospacing="0" w:after="0" w:afterAutospacing="0"/>
              <w:jc w:val="center"/>
              <w:textAlignment w:val="baseline"/>
              <w:rPr>
                <w:rFonts w:ascii="Arial" w:hAnsi="Arial" w:cs="Arial"/>
              </w:rPr>
            </w:pPr>
            <w:r w:rsidRPr="00D94ED6">
              <w:rPr>
                <w:rStyle w:val="normaltextrun"/>
                <w:rFonts w:ascii="Arial" w:eastAsiaTheme="majorEastAsia" w:hAnsi="Arial" w:cs="Arial"/>
                <w:color w:val="000000"/>
                <w:shd w:val="clear" w:color="auto" w:fill="FFFFFF"/>
              </w:rPr>
              <w:t>-16.7%</w:t>
            </w:r>
            <w:r w:rsidRPr="00D94ED6">
              <w:rPr>
                <w:rStyle w:val="eop"/>
                <w:rFonts w:ascii="Arial" w:eastAsiaTheme="majorEastAsia" w:hAnsi="Arial" w:cs="Arial"/>
                <w:color w:val="000000"/>
                <w:shd w:val="clear" w:color="auto" w:fill="FFFFFF"/>
              </w:rPr>
              <w:t> </w:t>
            </w:r>
          </w:p>
        </w:tc>
      </w:tr>
    </w:tbl>
    <w:p w14:paraId="34339480" w14:textId="77777777" w:rsidR="00B47306" w:rsidRPr="005650A4" w:rsidRDefault="00B47306" w:rsidP="007200F7">
      <w:pPr>
        <w:pStyle w:val="Heading5"/>
        <w:spacing w:before="240" w:after="240"/>
        <w:rPr>
          <w:rFonts w:ascii="Arial" w:hAnsi="Arial" w:cs="Arial"/>
          <w:b/>
          <w:color w:val="000000" w:themeColor="text1"/>
        </w:rPr>
      </w:pPr>
      <w:r w:rsidRPr="005650A4">
        <w:rPr>
          <w:rFonts w:ascii="Arial" w:hAnsi="Arial" w:cs="Arial"/>
          <w:b/>
          <w:color w:val="000000" w:themeColor="text1"/>
        </w:rPr>
        <w:t xml:space="preserve">Summary of </w:t>
      </w:r>
      <w:r>
        <w:rPr>
          <w:rFonts w:ascii="Arial" w:hAnsi="Arial" w:cs="Arial"/>
          <w:b/>
          <w:color w:val="000000" w:themeColor="text1"/>
        </w:rPr>
        <w:t xml:space="preserve">Change in </w:t>
      </w:r>
      <w:r w:rsidRPr="005650A4">
        <w:rPr>
          <w:rFonts w:ascii="Arial" w:hAnsi="Arial" w:cs="Arial"/>
          <w:b/>
          <w:color w:val="000000" w:themeColor="text1"/>
        </w:rPr>
        <w:t>Race/Ethni</w:t>
      </w:r>
      <w:r>
        <w:rPr>
          <w:rFonts w:ascii="Arial" w:hAnsi="Arial" w:cs="Arial"/>
          <w:b/>
          <w:color w:val="000000" w:themeColor="text1"/>
        </w:rPr>
        <w:t xml:space="preserve">city Representation </w:t>
      </w:r>
    </w:p>
    <w:p w14:paraId="1F91B289" w14:textId="77777777" w:rsidR="00B47306" w:rsidRPr="00FD4AD2" w:rsidRDefault="00B47306" w:rsidP="00B47306">
      <w:pPr>
        <w:rPr>
          <w:rFonts w:ascii="Arial" w:hAnsi="Arial" w:cs="Arial"/>
        </w:rPr>
      </w:pPr>
      <w:r w:rsidRPr="00F4519D">
        <w:rPr>
          <w:rFonts w:ascii="Arial" w:hAnsi="Arial" w:cs="Arial"/>
        </w:rPr>
        <w:t>The racial/ethnic trend in transfers remains fairly consistent</w:t>
      </w:r>
      <w:r>
        <w:rPr>
          <w:rFonts w:ascii="Arial" w:hAnsi="Arial" w:cs="Arial"/>
        </w:rPr>
        <w:t xml:space="preserve"> from </w:t>
      </w:r>
      <w:r>
        <w:rPr>
          <w:rFonts w:ascii="Arial" w:eastAsia="Arial" w:hAnsi="Arial" w:cs="Arial"/>
          <w:color w:val="000000" w:themeColor="text1"/>
        </w:rPr>
        <w:t>2017–2018 to</w:t>
      </w:r>
      <w:r w:rsidRPr="00210E1E">
        <w:rPr>
          <w:rFonts w:ascii="Arial" w:eastAsia="Arial" w:hAnsi="Arial" w:cs="Arial"/>
          <w:color w:val="000000" w:themeColor="text1"/>
        </w:rPr>
        <w:t xml:space="preserve"> 2019–202</w:t>
      </w:r>
      <w:r>
        <w:rPr>
          <w:rFonts w:ascii="Arial" w:eastAsia="Arial" w:hAnsi="Arial" w:cs="Arial"/>
          <w:color w:val="000000" w:themeColor="text1"/>
        </w:rPr>
        <w:t>0</w:t>
      </w:r>
      <w:r>
        <w:rPr>
          <w:rFonts w:ascii="Arial" w:hAnsi="Arial" w:cs="Arial"/>
        </w:rPr>
        <w:t>,</w:t>
      </w:r>
      <w:r w:rsidRPr="00F4519D">
        <w:rPr>
          <w:rFonts w:ascii="Arial" w:hAnsi="Arial" w:cs="Arial"/>
        </w:rPr>
        <w:t xml:space="preserve"> </w:t>
      </w:r>
      <w:r>
        <w:rPr>
          <w:rFonts w:ascii="Arial" w:hAnsi="Arial" w:cs="Arial"/>
        </w:rPr>
        <w:t xml:space="preserve">with </w:t>
      </w:r>
      <w:r w:rsidRPr="00F4519D">
        <w:rPr>
          <w:rFonts w:ascii="Arial" w:hAnsi="Arial" w:cs="Arial"/>
        </w:rPr>
        <w:t xml:space="preserve">Hispanic/Latino students </w:t>
      </w:r>
      <w:r>
        <w:rPr>
          <w:rFonts w:ascii="Arial" w:hAnsi="Arial" w:cs="Arial"/>
        </w:rPr>
        <w:t xml:space="preserve">continuing </w:t>
      </w:r>
      <w:r w:rsidRPr="00F4519D">
        <w:rPr>
          <w:rFonts w:ascii="Arial" w:hAnsi="Arial" w:cs="Arial"/>
        </w:rPr>
        <w:t>make up the largest percentage of students transferring from non-alter</w:t>
      </w:r>
      <w:r>
        <w:rPr>
          <w:rFonts w:ascii="Arial" w:hAnsi="Arial" w:cs="Arial"/>
        </w:rPr>
        <w:t>native schools to DASS schools. At the same time, transfer counts have declined for every student group.</w:t>
      </w:r>
      <w:r w:rsidRPr="00F4519D">
        <w:rPr>
          <w:rFonts w:ascii="Arial" w:hAnsi="Arial" w:cs="Arial"/>
        </w:rPr>
        <w:t xml:space="preserve"> </w:t>
      </w:r>
    </w:p>
    <w:p w14:paraId="15AA318D" w14:textId="1134466D" w:rsidR="00B47306" w:rsidRPr="000F2619" w:rsidRDefault="00B47306" w:rsidP="00B47306">
      <w:pPr>
        <w:pStyle w:val="paragraph"/>
        <w:spacing w:before="0" w:beforeAutospacing="0" w:after="0" w:afterAutospacing="0"/>
        <w:textAlignment w:val="baseline"/>
        <w:rPr>
          <w:rFonts w:ascii="Arial" w:hAnsi="Arial" w:cs="Arial"/>
          <w:b/>
          <w:bCs/>
          <w:sz w:val="22"/>
          <w:szCs w:val="22"/>
        </w:rPr>
      </w:pPr>
    </w:p>
    <w:p w14:paraId="09F5D04D" w14:textId="6B16DD30" w:rsidR="00B47306" w:rsidRPr="00FD4AD2" w:rsidRDefault="00B47306" w:rsidP="00B47306">
      <w:pPr>
        <w:pStyle w:val="Heading5"/>
        <w:rPr>
          <w:rStyle w:val="eop"/>
          <w:rFonts w:ascii="Arial" w:hAnsi="Arial" w:cs="Arial"/>
          <w:b/>
          <w:i/>
          <w:color w:val="000000" w:themeColor="text1"/>
        </w:rPr>
      </w:pPr>
      <w:r w:rsidRPr="00FD4AD2">
        <w:rPr>
          <w:rStyle w:val="normaltextrun"/>
          <w:rFonts w:ascii="Arial" w:hAnsi="Arial" w:cs="Arial"/>
          <w:b/>
          <w:i/>
          <w:color w:val="000000" w:themeColor="text1"/>
        </w:rPr>
        <w:t xml:space="preserve">Table 3. Change in Program Group Representation across </w:t>
      </w:r>
      <w:r w:rsidR="00697D4B">
        <w:rPr>
          <w:rStyle w:val="normaltextrun"/>
          <w:rFonts w:ascii="Arial" w:hAnsi="Arial" w:cs="Arial"/>
          <w:b/>
          <w:i/>
          <w:color w:val="000000" w:themeColor="text1"/>
        </w:rPr>
        <w:t>School year</w:t>
      </w:r>
      <w:r w:rsidRPr="00FD4AD2">
        <w:rPr>
          <w:rStyle w:val="normaltextrun"/>
          <w:rFonts w:ascii="Arial" w:hAnsi="Arial" w:cs="Arial"/>
          <w:b/>
          <w:i/>
          <w:color w:val="000000" w:themeColor="text1"/>
        </w:rPr>
        <w:t>s</w:t>
      </w:r>
      <w:r w:rsidRPr="00FD4AD2">
        <w:rPr>
          <w:rStyle w:val="eop"/>
          <w:rFonts w:ascii="Arial" w:hAnsi="Arial" w:cs="Arial"/>
          <w:b/>
          <w:i/>
          <w:color w:val="000000" w:themeColor="text1"/>
        </w:rPr>
        <w:t> </w:t>
      </w:r>
    </w:p>
    <w:p w14:paraId="62486C05" w14:textId="77777777" w:rsidR="00B47306" w:rsidRPr="004B3B6B" w:rsidRDefault="00B47306" w:rsidP="00B47306">
      <w:pPr>
        <w:pStyle w:val="paragraph"/>
        <w:spacing w:before="0" w:beforeAutospacing="0" w:after="0" w:afterAutospacing="0"/>
        <w:textAlignment w:val="baseline"/>
        <w:rPr>
          <w:rFonts w:ascii="Arial" w:hAnsi="Arial" w:cs="Arial"/>
          <w:b/>
          <w:bCs/>
        </w:rPr>
      </w:pPr>
    </w:p>
    <w:tbl>
      <w:tblPr>
        <w:tblStyle w:val="TableGrid"/>
        <w:tblW w:w="0" w:type="auto"/>
        <w:tblLook w:val="04A0" w:firstRow="1" w:lastRow="0" w:firstColumn="1" w:lastColumn="0" w:noHBand="0" w:noVBand="1"/>
      </w:tblPr>
      <w:tblGrid>
        <w:gridCol w:w="2205"/>
        <w:gridCol w:w="1419"/>
        <w:gridCol w:w="1419"/>
        <w:gridCol w:w="1419"/>
        <w:gridCol w:w="1456"/>
        <w:gridCol w:w="1432"/>
      </w:tblGrid>
      <w:tr w:rsidR="007200F7" w14:paraId="63A17BB0" w14:textId="77777777" w:rsidTr="007200F7">
        <w:trPr>
          <w:tblHeader/>
        </w:trPr>
        <w:tc>
          <w:tcPr>
            <w:tcW w:w="2205" w:type="dxa"/>
            <w:shd w:val="clear" w:color="auto" w:fill="D9D9D9" w:themeFill="background1" w:themeFillShade="D9"/>
            <w:vAlign w:val="center"/>
          </w:tcPr>
          <w:p w14:paraId="2C3663F4"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b/>
                <w:bCs/>
              </w:rPr>
              <w:lastRenderedPageBreak/>
              <w:t>Program Student Group</w:t>
            </w:r>
          </w:p>
        </w:tc>
        <w:tc>
          <w:tcPr>
            <w:tcW w:w="1419" w:type="dxa"/>
            <w:shd w:val="clear" w:color="auto" w:fill="D9D9D9" w:themeFill="background1" w:themeFillShade="D9"/>
            <w:vAlign w:val="center"/>
          </w:tcPr>
          <w:p w14:paraId="3DA541A3"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b/>
                <w:bCs/>
              </w:rPr>
              <w:t>2017–18 Counts</w:t>
            </w:r>
          </w:p>
        </w:tc>
        <w:tc>
          <w:tcPr>
            <w:tcW w:w="1419" w:type="dxa"/>
            <w:shd w:val="clear" w:color="auto" w:fill="D9D9D9" w:themeFill="background1" w:themeFillShade="D9"/>
            <w:vAlign w:val="center"/>
          </w:tcPr>
          <w:p w14:paraId="07D3D453"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b/>
                <w:bCs/>
              </w:rPr>
              <w:t>2018–19 Counts</w:t>
            </w:r>
          </w:p>
        </w:tc>
        <w:tc>
          <w:tcPr>
            <w:tcW w:w="1419" w:type="dxa"/>
            <w:shd w:val="clear" w:color="auto" w:fill="D9D9D9" w:themeFill="background1" w:themeFillShade="D9"/>
            <w:vAlign w:val="center"/>
          </w:tcPr>
          <w:p w14:paraId="648519EA"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b/>
                <w:bCs/>
              </w:rPr>
              <w:t>2019–20 Counts</w:t>
            </w:r>
          </w:p>
        </w:tc>
        <w:tc>
          <w:tcPr>
            <w:tcW w:w="1456" w:type="dxa"/>
            <w:shd w:val="clear" w:color="auto" w:fill="D9D9D9" w:themeFill="background1" w:themeFillShade="D9"/>
            <w:vAlign w:val="center"/>
          </w:tcPr>
          <w:p w14:paraId="614014D3"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b/>
                <w:bCs/>
              </w:rPr>
              <w:t>Difference 2017–18 to 2019–20</w:t>
            </w:r>
          </w:p>
        </w:tc>
        <w:tc>
          <w:tcPr>
            <w:tcW w:w="1432" w:type="dxa"/>
            <w:shd w:val="clear" w:color="auto" w:fill="D9D9D9" w:themeFill="background1" w:themeFillShade="D9"/>
            <w:vAlign w:val="center"/>
          </w:tcPr>
          <w:p w14:paraId="726BD54A"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b/>
                <w:bCs/>
              </w:rPr>
              <w:t>Percent Change</w:t>
            </w:r>
          </w:p>
          <w:p w14:paraId="2DE274A4"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b/>
                <w:bCs/>
              </w:rPr>
              <w:t>2017–18 to 2019–20</w:t>
            </w:r>
          </w:p>
        </w:tc>
      </w:tr>
      <w:tr w:rsidR="007200F7" w14:paraId="714038EA" w14:textId="77777777" w:rsidTr="003007CC">
        <w:tc>
          <w:tcPr>
            <w:tcW w:w="2205" w:type="dxa"/>
            <w:vAlign w:val="center"/>
          </w:tcPr>
          <w:p w14:paraId="4512ED0C" w14:textId="77777777" w:rsidR="007200F7" w:rsidRPr="004B3B6B" w:rsidRDefault="007200F7" w:rsidP="003007CC">
            <w:pPr>
              <w:pStyle w:val="paragraph"/>
              <w:spacing w:before="0" w:beforeAutospacing="0" w:after="0" w:afterAutospacing="0"/>
              <w:textAlignment w:val="baseline"/>
              <w:rPr>
                <w:rFonts w:ascii="Arial" w:hAnsi="Arial" w:cs="Arial"/>
              </w:rPr>
            </w:pPr>
            <w:r w:rsidRPr="004B3B6B">
              <w:rPr>
                <w:rStyle w:val="normaltextrun"/>
                <w:rFonts w:ascii="Arial" w:eastAsiaTheme="majorEastAsia" w:hAnsi="Arial" w:cs="Arial"/>
              </w:rPr>
              <w:t>English Learners</w:t>
            </w:r>
            <w:r w:rsidRPr="004B3B6B">
              <w:rPr>
                <w:rStyle w:val="eop"/>
                <w:rFonts w:ascii="Arial" w:eastAsiaTheme="majorEastAsia" w:hAnsi="Arial" w:cs="Arial"/>
              </w:rPr>
              <w:t> </w:t>
            </w:r>
          </w:p>
        </w:tc>
        <w:tc>
          <w:tcPr>
            <w:tcW w:w="1419" w:type="dxa"/>
            <w:vAlign w:val="center"/>
          </w:tcPr>
          <w:p w14:paraId="021CC499"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8,686</w:t>
            </w:r>
            <w:r w:rsidRPr="004B3B6B">
              <w:rPr>
                <w:rStyle w:val="eop"/>
                <w:rFonts w:ascii="Arial" w:eastAsiaTheme="majorEastAsia" w:hAnsi="Arial" w:cs="Arial"/>
              </w:rPr>
              <w:t> </w:t>
            </w:r>
          </w:p>
        </w:tc>
        <w:tc>
          <w:tcPr>
            <w:tcW w:w="1419" w:type="dxa"/>
            <w:vAlign w:val="center"/>
          </w:tcPr>
          <w:p w14:paraId="24AECFE4"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9,212</w:t>
            </w:r>
            <w:r w:rsidRPr="004B3B6B">
              <w:rPr>
                <w:rStyle w:val="eop"/>
                <w:rFonts w:ascii="Arial" w:eastAsiaTheme="majorEastAsia" w:hAnsi="Arial" w:cs="Arial"/>
              </w:rPr>
              <w:t> </w:t>
            </w:r>
          </w:p>
        </w:tc>
        <w:tc>
          <w:tcPr>
            <w:tcW w:w="1419" w:type="dxa"/>
            <w:vAlign w:val="center"/>
          </w:tcPr>
          <w:p w14:paraId="616A1B0C"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7,104</w:t>
            </w:r>
            <w:r w:rsidRPr="004B3B6B">
              <w:rPr>
                <w:rStyle w:val="eop"/>
                <w:rFonts w:ascii="Arial" w:eastAsiaTheme="majorEastAsia" w:hAnsi="Arial" w:cs="Arial"/>
                <w:color w:val="000000"/>
              </w:rPr>
              <w:t> </w:t>
            </w:r>
          </w:p>
        </w:tc>
        <w:tc>
          <w:tcPr>
            <w:tcW w:w="1456" w:type="dxa"/>
            <w:vAlign w:val="center"/>
          </w:tcPr>
          <w:p w14:paraId="3E9C7533"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-1,582</w:t>
            </w:r>
            <w:r w:rsidRPr="004B3B6B">
              <w:rPr>
                <w:rStyle w:val="eop"/>
                <w:rFonts w:ascii="Arial" w:eastAsiaTheme="majorEastAsia" w:hAnsi="Arial" w:cs="Arial"/>
                <w:color w:val="000000"/>
              </w:rPr>
              <w:t> </w:t>
            </w:r>
          </w:p>
        </w:tc>
        <w:tc>
          <w:tcPr>
            <w:tcW w:w="1432" w:type="dxa"/>
            <w:vAlign w:val="center"/>
          </w:tcPr>
          <w:p w14:paraId="1348F734"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-18.2%</w:t>
            </w:r>
            <w:r w:rsidRPr="004B3B6B">
              <w:rPr>
                <w:rStyle w:val="eop"/>
                <w:rFonts w:ascii="Arial" w:eastAsiaTheme="majorEastAsia" w:hAnsi="Arial" w:cs="Arial"/>
                <w:color w:val="000000"/>
              </w:rPr>
              <w:t> </w:t>
            </w:r>
          </w:p>
        </w:tc>
      </w:tr>
      <w:tr w:rsidR="007200F7" w14:paraId="708AD693" w14:textId="77777777" w:rsidTr="003007CC">
        <w:tc>
          <w:tcPr>
            <w:tcW w:w="2205" w:type="dxa"/>
            <w:vAlign w:val="center"/>
          </w:tcPr>
          <w:p w14:paraId="47D45D99" w14:textId="77777777" w:rsidR="007200F7" w:rsidRPr="004B3B6B" w:rsidRDefault="007200F7" w:rsidP="003007CC">
            <w:pPr>
              <w:pStyle w:val="paragraph"/>
              <w:spacing w:before="0" w:beforeAutospacing="0" w:after="0" w:afterAutospacing="0"/>
              <w:textAlignment w:val="baseline"/>
              <w:rPr>
                <w:rFonts w:ascii="Arial" w:hAnsi="Arial" w:cs="Arial"/>
              </w:rPr>
            </w:pPr>
            <w:r w:rsidRPr="004B3B6B">
              <w:rPr>
                <w:rStyle w:val="normaltextrun"/>
                <w:rFonts w:ascii="Arial" w:eastAsiaTheme="majorEastAsia" w:hAnsi="Arial" w:cs="Arial"/>
              </w:rPr>
              <w:t>Foster Youth</w:t>
            </w:r>
            <w:r w:rsidRPr="004B3B6B">
              <w:rPr>
                <w:rStyle w:val="eop"/>
                <w:rFonts w:ascii="Arial" w:eastAsiaTheme="majorEastAsia" w:hAnsi="Arial" w:cs="Arial"/>
              </w:rPr>
              <w:t> </w:t>
            </w:r>
          </w:p>
        </w:tc>
        <w:tc>
          <w:tcPr>
            <w:tcW w:w="1419" w:type="dxa"/>
            <w:vAlign w:val="center"/>
          </w:tcPr>
          <w:p w14:paraId="39178256"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2,025</w:t>
            </w:r>
            <w:r w:rsidRPr="004B3B6B">
              <w:rPr>
                <w:rStyle w:val="eop"/>
                <w:rFonts w:ascii="Arial" w:eastAsiaTheme="majorEastAsia" w:hAnsi="Arial" w:cs="Arial"/>
              </w:rPr>
              <w:t> </w:t>
            </w:r>
          </w:p>
        </w:tc>
        <w:tc>
          <w:tcPr>
            <w:tcW w:w="1419" w:type="dxa"/>
            <w:vAlign w:val="center"/>
          </w:tcPr>
          <w:p w14:paraId="55EFE938"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1,379</w:t>
            </w:r>
            <w:r w:rsidRPr="004B3B6B">
              <w:rPr>
                <w:rStyle w:val="eop"/>
                <w:rFonts w:ascii="Arial" w:eastAsiaTheme="majorEastAsia" w:hAnsi="Arial" w:cs="Arial"/>
              </w:rPr>
              <w:t> </w:t>
            </w:r>
          </w:p>
        </w:tc>
        <w:tc>
          <w:tcPr>
            <w:tcW w:w="1419" w:type="dxa"/>
            <w:vAlign w:val="center"/>
          </w:tcPr>
          <w:p w14:paraId="6FD2EA39"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1,458</w:t>
            </w:r>
            <w:r w:rsidRPr="004B3B6B">
              <w:rPr>
                <w:rStyle w:val="eop"/>
                <w:rFonts w:ascii="Arial" w:eastAsiaTheme="majorEastAsia" w:hAnsi="Arial" w:cs="Arial"/>
                <w:color w:val="000000"/>
              </w:rPr>
              <w:t> </w:t>
            </w:r>
          </w:p>
        </w:tc>
        <w:tc>
          <w:tcPr>
            <w:tcW w:w="1456" w:type="dxa"/>
            <w:vAlign w:val="center"/>
          </w:tcPr>
          <w:p w14:paraId="09708798"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-567</w:t>
            </w:r>
            <w:r w:rsidRPr="004B3B6B">
              <w:rPr>
                <w:rStyle w:val="eop"/>
                <w:rFonts w:ascii="Arial" w:eastAsiaTheme="majorEastAsia" w:hAnsi="Arial" w:cs="Arial"/>
                <w:color w:val="000000"/>
              </w:rPr>
              <w:t> </w:t>
            </w:r>
          </w:p>
        </w:tc>
        <w:tc>
          <w:tcPr>
            <w:tcW w:w="1432" w:type="dxa"/>
            <w:vAlign w:val="center"/>
          </w:tcPr>
          <w:p w14:paraId="3D0E8180"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-28.0%</w:t>
            </w:r>
            <w:r w:rsidRPr="004B3B6B">
              <w:rPr>
                <w:rStyle w:val="eop"/>
                <w:rFonts w:ascii="Arial" w:eastAsiaTheme="majorEastAsia" w:hAnsi="Arial" w:cs="Arial"/>
                <w:color w:val="000000"/>
              </w:rPr>
              <w:t> </w:t>
            </w:r>
          </w:p>
        </w:tc>
      </w:tr>
      <w:tr w:rsidR="007200F7" w14:paraId="11F1079A" w14:textId="77777777" w:rsidTr="003007CC">
        <w:tc>
          <w:tcPr>
            <w:tcW w:w="2205" w:type="dxa"/>
            <w:vAlign w:val="center"/>
          </w:tcPr>
          <w:p w14:paraId="1956C5C2" w14:textId="77777777" w:rsidR="007200F7" w:rsidRPr="004B3B6B" w:rsidRDefault="007200F7" w:rsidP="003007CC">
            <w:pPr>
              <w:pStyle w:val="paragraph"/>
              <w:spacing w:before="0" w:beforeAutospacing="0" w:after="0" w:afterAutospacing="0"/>
              <w:textAlignment w:val="baseline"/>
              <w:rPr>
                <w:rFonts w:ascii="Arial" w:hAnsi="Arial" w:cs="Arial"/>
              </w:rPr>
            </w:pPr>
            <w:r w:rsidRPr="004B3B6B">
              <w:rPr>
                <w:rStyle w:val="normaltextrun"/>
                <w:rFonts w:ascii="Arial" w:eastAsiaTheme="majorEastAsia" w:hAnsi="Arial" w:cs="Arial"/>
              </w:rPr>
              <w:t>Homeless Students</w:t>
            </w:r>
            <w:r w:rsidRPr="004B3B6B">
              <w:rPr>
                <w:rStyle w:val="eop"/>
                <w:rFonts w:ascii="Arial" w:eastAsiaTheme="majorEastAsia" w:hAnsi="Arial" w:cs="Arial"/>
              </w:rPr>
              <w:t> </w:t>
            </w:r>
          </w:p>
        </w:tc>
        <w:tc>
          <w:tcPr>
            <w:tcW w:w="1419" w:type="dxa"/>
            <w:vAlign w:val="center"/>
          </w:tcPr>
          <w:p w14:paraId="30ED5CCC"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2,843</w:t>
            </w:r>
            <w:r w:rsidRPr="004B3B6B">
              <w:rPr>
                <w:rStyle w:val="eop"/>
                <w:rFonts w:ascii="Arial" w:eastAsiaTheme="majorEastAsia" w:hAnsi="Arial" w:cs="Arial"/>
              </w:rPr>
              <w:t> </w:t>
            </w:r>
          </w:p>
        </w:tc>
        <w:tc>
          <w:tcPr>
            <w:tcW w:w="1419" w:type="dxa"/>
            <w:vAlign w:val="center"/>
          </w:tcPr>
          <w:p w14:paraId="1D0DD63A"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2,920</w:t>
            </w:r>
            <w:r w:rsidRPr="004B3B6B">
              <w:rPr>
                <w:rStyle w:val="eop"/>
                <w:rFonts w:ascii="Arial" w:eastAsiaTheme="majorEastAsia" w:hAnsi="Arial" w:cs="Arial"/>
              </w:rPr>
              <w:t> </w:t>
            </w:r>
          </w:p>
        </w:tc>
        <w:tc>
          <w:tcPr>
            <w:tcW w:w="1419" w:type="dxa"/>
            <w:vAlign w:val="center"/>
          </w:tcPr>
          <w:p w14:paraId="36E039ED"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2,170</w:t>
            </w:r>
            <w:r w:rsidRPr="004B3B6B">
              <w:rPr>
                <w:rStyle w:val="eop"/>
                <w:rFonts w:ascii="Arial" w:eastAsiaTheme="majorEastAsia" w:hAnsi="Arial" w:cs="Arial"/>
                <w:color w:val="000000"/>
              </w:rPr>
              <w:t> </w:t>
            </w:r>
          </w:p>
        </w:tc>
        <w:tc>
          <w:tcPr>
            <w:tcW w:w="1456" w:type="dxa"/>
            <w:vAlign w:val="center"/>
          </w:tcPr>
          <w:p w14:paraId="531AFE2E"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-673</w:t>
            </w:r>
            <w:r w:rsidRPr="004B3B6B">
              <w:rPr>
                <w:rStyle w:val="eop"/>
                <w:rFonts w:ascii="Arial" w:eastAsiaTheme="majorEastAsia" w:hAnsi="Arial" w:cs="Arial"/>
                <w:color w:val="000000"/>
              </w:rPr>
              <w:t> </w:t>
            </w:r>
          </w:p>
        </w:tc>
        <w:tc>
          <w:tcPr>
            <w:tcW w:w="1432" w:type="dxa"/>
            <w:vAlign w:val="center"/>
          </w:tcPr>
          <w:p w14:paraId="4D9616AF"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-23.7%</w:t>
            </w:r>
            <w:r w:rsidRPr="004B3B6B">
              <w:rPr>
                <w:rStyle w:val="eop"/>
                <w:rFonts w:ascii="Arial" w:eastAsiaTheme="majorEastAsia" w:hAnsi="Arial" w:cs="Arial"/>
                <w:color w:val="000000"/>
              </w:rPr>
              <w:t> </w:t>
            </w:r>
          </w:p>
        </w:tc>
      </w:tr>
      <w:tr w:rsidR="007200F7" w14:paraId="7D10D42C" w14:textId="77777777" w:rsidTr="003007CC">
        <w:tc>
          <w:tcPr>
            <w:tcW w:w="2205" w:type="dxa"/>
            <w:vAlign w:val="center"/>
          </w:tcPr>
          <w:p w14:paraId="66BD521F" w14:textId="77777777" w:rsidR="007200F7" w:rsidRPr="004B3B6B" w:rsidRDefault="007200F7" w:rsidP="003007CC">
            <w:pPr>
              <w:pStyle w:val="paragraph"/>
              <w:spacing w:before="0" w:beforeAutospacing="0" w:after="0" w:afterAutospacing="0"/>
              <w:textAlignment w:val="baseline"/>
              <w:rPr>
                <w:rFonts w:ascii="Arial" w:hAnsi="Arial" w:cs="Arial"/>
              </w:rPr>
            </w:pPr>
            <w:r w:rsidRPr="004B3B6B">
              <w:rPr>
                <w:rStyle w:val="normaltextrun"/>
                <w:rFonts w:ascii="Arial" w:eastAsiaTheme="majorEastAsia" w:hAnsi="Arial" w:cs="Arial"/>
              </w:rPr>
              <w:t>Socioeconomically Disadvantaged</w:t>
            </w:r>
            <w:r w:rsidRPr="004B3B6B">
              <w:rPr>
                <w:rStyle w:val="eop"/>
                <w:rFonts w:ascii="Arial" w:eastAsiaTheme="majorEastAsia" w:hAnsi="Arial" w:cs="Arial"/>
              </w:rPr>
              <w:t> </w:t>
            </w:r>
          </w:p>
        </w:tc>
        <w:tc>
          <w:tcPr>
            <w:tcW w:w="1419" w:type="dxa"/>
            <w:vAlign w:val="center"/>
          </w:tcPr>
          <w:p w14:paraId="08044B6D"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39,089</w:t>
            </w:r>
            <w:r w:rsidRPr="004B3B6B">
              <w:rPr>
                <w:rStyle w:val="eop"/>
                <w:rFonts w:ascii="Arial" w:eastAsiaTheme="majorEastAsia" w:hAnsi="Arial" w:cs="Arial"/>
              </w:rPr>
              <w:t> </w:t>
            </w:r>
          </w:p>
        </w:tc>
        <w:tc>
          <w:tcPr>
            <w:tcW w:w="1419" w:type="dxa"/>
            <w:vAlign w:val="center"/>
          </w:tcPr>
          <w:p w14:paraId="27CE581C"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39,903</w:t>
            </w:r>
            <w:r w:rsidRPr="004B3B6B">
              <w:rPr>
                <w:rStyle w:val="eop"/>
                <w:rFonts w:ascii="Arial" w:eastAsiaTheme="majorEastAsia" w:hAnsi="Arial" w:cs="Arial"/>
              </w:rPr>
              <w:t> </w:t>
            </w:r>
          </w:p>
        </w:tc>
        <w:tc>
          <w:tcPr>
            <w:tcW w:w="1419" w:type="dxa"/>
            <w:vAlign w:val="center"/>
          </w:tcPr>
          <w:p w14:paraId="3216F6E6"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33,139</w:t>
            </w:r>
            <w:r w:rsidRPr="004B3B6B">
              <w:rPr>
                <w:rStyle w:val="eop"/>
                <w:rFonts w:ascii="Arial" w:eastAsiaTheme="majorEastAsia" w:hAnsi="Arial" w:cs="Arial"/>
                <w:color w:val="000000"/>
              </w:rPr>
              <w:t> </w:t>
            </w:r>
          </w:p>
        </w:tc>
        <w:tc>
          <w:tcPr>
            <w:tcW w:w="1456" w:type="dxa"/>
            <w:vAlign w:val="center"/>
          </w:tcPr>
          <w:p w14:paraId="360AAF65"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-5,950</w:t>
            </w:r>
            <w:r w:rsidRPr="004B3B6B">
              <w:rPr>
                <w:rStyle w:val="eop"/>
                <w:rFonts w:ascii="Arial" w:eastAsiaTheme="majorEastAsia" w:hAnsi="Arial" w:cs="Arial"/>
                <w:color w:val="000000"/>
              </w:rPr>
              <w:t> </w:t>
            </w:r>
          </w:p>
        </w:tc>
        <w:tc>
          <w:tcPr>
            <w:tcW w:w="1432" w:type="dxa"/>
            <w:vAlign w:val="center"/>
          </w:tcPr>
          <w:p w14:paraId="52F7875D"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-15.2%</w:t>
            </w:r>
            <w:r w:rsidRPr="004B3B6B">
              <w:rPr>
                <w:rStyle w:val="eop"/>
                <w:rFonts w:ascii="Arial" w:eastAsiaTheme="majorEastAsia" w:hAnsi="Arial" w:cs="Arial"/>
                <w:color w:val="000000"/>
              </w:rPr>
              <w:t> </w:t>
            </w:r>
          </w:p>
        </w:tc>
      </w:tr>
      <w:tr w:rsidR="007200F7" w14:paraId="7B90F110" w14:textId="77777777" w:rsidTr="003007CC">
        <w:tc>
          <w:tcPr>
            <w:tcW w:w="2205" w:type="dxa"/>
            <w:vAlign w:val="center"/>
          </w:tcPr>
          <w:p w14:paraId="09A89094" w14:textId="77777777" w:rsidR="007200F7" w:rsidRPr="004B3B6B" w:rsidRDefault="007200F7" w:rsidP="003007CC">
            <w:pPr>
              <w:pStyle w:val="paragraph"/>
              <w:spacing w:before="0" w:beforeAutospacing="0" w:after="0" w:afterAutospacing="0"/>
              <w:textAlignment w:val="baseline"/>
              <w:rPr>
                <w:rFonts w:ascii="Arial" w:hAnsi="Arial" w:cs="Arial"/>
              </w:rPr>
            </w:pPr>
            <w:r w:rsidRPr="004B3B6B">
              <w:rPr>
                <w:rStyle w:val="normaltextrun"/>
                <w:rFonts w:ascii="Arial" w:eastAsiaTheme="majorEastAsia" w:hAnsi="Arial" w:cs="Arial"/>
              </w:rPr>
              <w:t>Students with Disabilities</w:t>
            </w:r>
            <w:r w:rsidRPr="004B3B6B">
              <w:rPr>
                <w:rStyle w:val="eop"/>
                <w:rFonts w:ascii="Arial" w:eastAsiaTheme="majorEastAsia" w:hAnsi="Arial" w:cs="Arial"/>
              </w:rPr>
              <w:t> </w:t>
            </w:r>
          </w:p>
        </w:tc>
        <w:tc>
          <w:tcPr>
            <w:tcW w:w="1419" w:type="dxa"/>
            <w:vAlign w:val="center"/>
          </w:tcPr>
          <w:p w14:paraId="22BF2328"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6,818</w:t>
            </w:r>
            <w:r w:rsidRPr="004B3B6B">
              <w:rPr>
                <w:rStyle w:val="eop"/>
                <w:rFonts w:ascii="Arial" w:eastAsiaTheme="majorEastAsia" w:hAnsi="Arial" w:cs="Arial"/>
              </w:rPr>
              <w:t> </w:t>
            </w:r>
          </w:p>
        </w:tc>
        <w:tc>
          <w:tcPr>
            <w:tcW w:w="1419" w:type="dxa"/>
            <w:vAlign w:val="center"/>
          </w:tcPr>
          <w:p w14:paraId="19B48183"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rPr>
              <w:t>6,959</w:t>
            </w:r>
            <w:r w:rsidRPr="004B3B6B">
              <w:rPr>
                <w:rStyle w:val="eop"/>
                <w:rFonts w:ascii="Arial" w:eastAsiaTheme="majorEastAsia" w:hAnsi="Arial" w:cs="Arial"/>
              </w:rPr>
              <w:t> </w:t>
            </w:r>
          </w:p>
        </w:tc>
        <w:tc>
          <w:tcPr>
            <w:tcW w:w="1419" w:type="dxa"/>
            <w:vAlign w:val="center"/>
          </w:tcPr>
          <w:p w14:paraId="3CD9391C"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5,930</w:t>
            </w:r>
            <w:r w:rsidRPr="004B3B6B">
              <w:rPr>
                <w:rStyle w:val="eop"/>
                <w:rFonts w:ascii="Arial" w:eastAsiaTheme="majorEastAsia" w:hAnsi="Arial" w:cs="Arial"/>
                <w:color w:val="000000"/>
              </w:rPr>
              <w:t> </w:t>
            </w:r>
          </w:p>
        </w:tc>
        <w:tc>
          <w:tcPr>
            <w:tcW w:w="1456" w:type="dxa"/>
            <w:vAlign w:val="center"/>
          </w:tcPr>
          <w:p w14:paraId="7470BBB0"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-888</w:t>
            </w:r>
            <w:r w:rsidRPr="004B3B6B">
              <w:rPr>
                <w:rStyle w:val="eop"/>
                <w:rFonts w:ascii="Arial" w:eastAsiaTheme="majorEastAsia" w:hAnsi="Arial" w:cs="Arial"/>
                <w:color w:val="000000"/>
              </w:rPr>
              <w:t> </w:t>
            </w:r>
          </w:p>
        </w:tc>
        <w:tc>
          <w:tcPr>
            <w:tcW w:w="1432" w:type="dxa"/>
            <w:vAlign w:val="center"/>
          </w:tcPr>
          <w:p w14:paraId="23DD4AF2"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4B3B6B">
              <w:rPr>
                <w:rStyle w:val="normaltextrun"/>
                <w:rFonts w:ascii="Arial" w:eastAsiaTheme="majorEastAsia" w:hAnsi="Arial" w:cs="Arial"/>
                <w:color w:val="000000"/>
              </w:rPr>
              <w:t>-13.0%</w:t>
            </w:r>
            <w:r w:rsidRPr="004B3B6B">
              <w:rPr>
                <w:rStyle w:val="eop"/>
                <w:rFonts w:ascii="Arial" w:eastAsiaTheme="majorEastAsia" w:hAnsi="Arial" w:cs="Arial"/>
                <w:color w:val="000000"/>
              </w:rPr>
              <w:t> </w:t>
            </w:r>
          </w:p>
        </w:tc>
      </w:tr>
      <w:tr w:rsidR="007200F7" w14:paraId="12920660" w14:textId="77777777" w:rsidTr="003007CC">
        <w:tc>
          <w:tcPr>
            <w:tcW w:w="2205" w:type="dxa"/>
            <w:vAlign w:val="center"/>
          </w:tcPr>
          <w:p w14:paraId="027CFA23" w14:textId="77777777" w:rsidR="007200F7" w:rsidRPr="004B3B6B" w:rsidRDefault="007200F7" w:rsidP="003007CC">
            <w:pPr>
              <w:pStyle w:val="paragraph"/>
              <w:spacing w:before="0" w:beforeAutospacing="0" w:after="0" w:afterAutospacing="0"/>
              <w:textAlignment w:val="baseline"/>
              <w:rPr>
                <w:rFonts w:ascii="Arial" w:hAnsi="Arial" w:cs="Arial"/>
              </w:rPr>
            </w:pPr>
            <w:r w:rsidRPr="004B3B6B">
              <w:rPr>
                <w:rStyle w:val="normaltextrun"/>
                <w:rFonts w:ascii="Arial" w:eastAsiaTheme="majorEastAsia" w:hAnsi="Arial" w:cs="Arial"/>
              </w:rPr>
              <w:t>All Students</w:t>
            </w:r>
            <w:r w:rsidRPr="004B3B6B">
              <w:rPr>
                <w:rStyle w:val="eop"/>
                <w:rFonts w:ascii="Arial" w:eastAsiaTheme="majorEastAsia" w:hAnsi="Arial" w:cs="Arial"/>
              </w:rPr>
              <w:t> </w:t>
            </w:r>
          </w:p>
        </w:tc>
        <w:tc>
          <w:tcPr>
            <w:tcW w:w="1419" w:type="dxa"/>
            <w:vAlign w:val="center"/>
          </w:tcPr>
          <w:p w14:paraId="0F94C5FE"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9F1720">
              <w:rPr>
                <w:rStyle w:val="normaltextrun"/>
                <w:rFonts w:ascii="Arial" w:eastAsiaTheme="majorEastAsia" w:hAnsi="Arial" w:cs="Arial"/>
              </w:rPr>
              <w:t>59,461</w:t>
            </w:r>
            <w:r w:rsidRPr="009F1720">
              <w:rPr>
                <w:rStyle w:val="eop"/>
                <w:rFonts w:ascii="Arial" w:eastAsiaTheme="majorEastAsia" w:hAnsi="Arial" w:cs="Arial"/>
              </w:rPr>
              <w:t> </w:t>
            </w:r>
          </w:p>
        </w:tc>
        <w:tc>
          <w:tcPr>
            <w:tcW w:w="1419" w:type="dxa"/>
            <w:vAlign w:val="center"/>
          </w:tcPr>
          <w:p w14:paraId="597C5A5F"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9F1720">
              <w:rPr>
                <w:rStyle w:val="normaltextrun"/>
                <w:rFonts w:ascii="Arial" w:eastAsiaTheme="majorEastAsia" w:hAnsi="Arial" w:cs="Arial"/>
              </w:rPr>
              <w:t>60,373</w:t>
            </w:r>
            <w:r w:rsidRPr="009F1720">
              <w:rPr>
                <w:rStyle w:val="eop"/>
                <w:rFonts w:ascii="Arial" w:eastAsiaTheme="majorEastAsia" w:hAnsi="Arial" w:cs="Arial"/>
              </w:rPr>
              <w:t> </w:t>
            </w:r>
          </w:p>
        </w:tc>
        <w:tc>
          <w:tcPr>
            <w:tcW w:w="1419" w:type="dxa"/>
            <w:vAlign w:val="center"/>
          </w:tcPr>
          <w:p w14:paraId="12A3C8BA"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9F1720">
              <w:rPr>
                <w:rStyle w:val="normaltextrun"/>
                <w:rFonts w:ascii="Arial" w:eastAsiaTheme="majorEastAsia" w:hAnsi="Arial" w:cs="Arial"/>
                <w:color w:val="000000"/>
              </w:rPr>
              <w:t>49,801</w:t>
            </w:r>
            <w:r w:rsidRPr="009F1720">
              <w:rPr>
                <w:rStyle w:val="eop"/>
                <w:rFonts w:ascii="Arial" w:eastAsiaTheme="majorEastAsia" w:hAnsi="Arial" w:cs="Arial"/>
                <w:color w:val="000000"/>
              </w:rPr>
              <w:t> </w:t>
            </w:r>
          </w:p>
        </w:tc>
        <w:tc>
          <w:tcPr>
            <w:tcW w:w="1456" w:type="dxa"/>
            <w:vAlign w:val="center"/>
          </w:tcPr>
          <w:p w14:paraId="305855B9"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9F1720">
              <w:rPr>
                <w:rStyle w:val="normaltextrun"/>
                <w:rFonts w:ascii="Arial" w:eastAsiaTheme="majorEastAsia" w:hAnsi="Arial" w:cs="Arial"/>
                <w:color w:val="000000"/>
              </w:rPr>
              <w:t>-9,660</w:t>
            </w:r>
            <w:r w:rsidRPr="009F1720">
              <w:rPr>
                <w:rStyle w:val="eop"/>
                <w:rFonts w:ascii="Arial" w:eastAsiaTheme="majorEastAsia" w:hAnsi="Arial" w:cs="Arial"/>
                <w:color w:val="000000"/>
              </w:rPr>
              <w:t> </w:t>
            </w:r>
          </w:p>
        </w:tc>
        <w:tc>
          <w:tcPr>
            <w:tcW w:w="1432" w:type="dxa"/>
            <w:vAlign w:val="center"/>
          </w:tcPr>
          <w:p w14:paraId="47DD5EFE" w14:textId="77777777" w:rsidR="007200F7" w:rsidRPr="004B3B6B" w:rsidRDefault="007200F7" w:rsidP="003007CC">
            <w:pPr>
              <w:pStyle w:val="paragraph"/>
              <w:spacing w:before="0" w:beforeAutospacing="0" w:after="0" w:afterAutospacing="0"/>
              <w:jc w:val="center"/>
              <w:textAlignment w:val="baseline"/>
              <w:rPr>
                <w:rFonts w:ascii="Arial" w:hAnsi="Arial" w:cs="Arial"/>
              </w:rPr>
            </w:pPr>
            <w:r w:rsidRPr="009F1720">
              <w:rPr>
                <w:rStyle w:val="normaltextrun"/>
                <w:rFonts w:ascii="Arial" w:eastAsiaTheme="majorEastAsia" w:hAnsi="Arial" w:cs="Arial"/>
                <w:color w:val="000000"/>
                <w:bdr w:val="none" w:sz="0" w:space="0" w:color="auto" w:frame="1"/>
              </w:rPr>
              <w:t>-16.2%</w:t>
            </w:r>
          </w:p>
        </w:tc>
      </w:tr>
    </w:tbl>
    <w:p w14:paraId="27CC8535" w14:textId="77777777" w:rsidR="00B47306" w:rsidRPr="005650A4" w:rsidRDefault="00B47306" w:rsidP="007200F7">
      <w:pPr>
        <w:pStyle w:val="Heading5"/>
        <w:spacing w:before="240" w:after="240"/>
        <w:rPr>
          <w:rFonts w:ascii="Arial" w:eastAsia="Arial" w:hAnsi="Arial" w:cs="Arial"/>
          <w:b/>
          <w:color w:val="000000" w:themeColor="text1"/>
        </w:rPr>
      </w:pPr>
      <w:r w:rsidRPr="005650A4">
        <w:rPr>
          <w:rFonts w:ascii="Arial" w:eastAsia="Arial" w:hAnsi="Arial" w:cs="Arial"/>
          <w:b/>
          <w:color w:val="000000" w:themeColor="text1"/>
        </w:rPr>
        <w:t xml:space="preserve">Summary of </w:t>
      </w:r>
      <w:r>
        <w:rPr>
          <w:rFonts w:ascii="Arial" w:eastAsia="Arial" w:hAnsi="Arial" w:cs="Arial"/>
          <w:b/>
          <w:color w:val="000000" w:themeColor="text1"/>
        </w:rPr>
        <w:t xml:space="preserve">Change in </w:t>
      </w:r>
      <w:r w:rsidRPr="005650A4">
        <w:rPr>
          <w:rFonts w:ascii="Arial" w:eastAsia="Arial" w:hAnsi="Arial" w:cs="Arial"/>
          <w:b/>
          <w:color w:val="000000" w:themeColor="text1"/>
        </w:rPr>
        <w:t xml:space="preserve">Program Student Group Representation </w:t>
      </w:r>
    </w:p>
    <w:p w14:paraId="023DC506" w14:textId="443B569F" w:rsidR="00B47306" w:rsidRPr="00FD4AD2" w:rsidRDefault="00B47306" w:rsidP="00B47306">
      <w:pPr>
        <w:rPr>
          <w:rFonts w:ascii="Arial" w:eastAsia="Arial" w:hAnsi="Arial" w:cs="Arial"/>
          <w:color w:val="000000" w:themeColor="text1"/>
        </w:rPr>
      </w:pPr>
      <w:r>
        <w:rPr>
          <w:rFonts w:ascii="Arial" w:eastAsia="Arial" w:hAnsi="Arial" w:cs="Arial"/>
          <w:color w:val="000000" w:themeColor="text1"/>
        </w:rPr>
        <w:t>Here too, t</w:t>
      </w:r>
      <w:r w:rsidRPr="00F4519D">
        <w:rPr>
          <w:rFonts w:ascii="Arial" w:eastAsia="Arial" w:hAnsi="Arial" w:cs="Arial"/>
          <w:color w:val="000000" w:themeColor="text1"/>
        </w:rPr>
        <w:t xml:space="preserve">he trend data are encouraging. </w:t>
      </w:r>
      <w:r>
        <w:rPr>
          <w:rFonts w:ascii="Arial" w:eastAsia="Arial" w:hAnsi="Arial" w:cs="Arial"/>
          <w:color w:val="000000" w:themeColor="text1"/>
        </w:rPr>
        <w:t>For every</w:t>
      </w:r>
      <w:r w:rsidRPr="00F4519D">
        <w:rPr>
          <w:rFonts w:ascii="Arial" w:eastAsia="Arial" w:hAnsi="Arial" w:cs="Arial"/>
          <w:color w:val="000000" w:themeColor="text1"/>
        </w:rPr>
        <w:t xml:space="preserve"> program student group, transfer counts have declined from 2017</w:t>
      </w:r>
      <w:r w:rsidR="009C067E">
        <w:rPr>
          <w:rFonts w:ascii="Arial" w:eastAsia="Arial" w:hAnsi="Arial" w:cs="Arial"/>
          <w:color w:val="000000" w:themeColor="text1"/>
        </w:rPr>
        <w:t>–</w:t>
      </w:r>
      <w:r w:rsidRPr="00F4519D">
        <w:rPr>
          <w:rFonts w:ascii="Arial" w:eastAsia="Arial" w:hAnsi="Arial" w:cs="Arial"/>
          <w:color w:val="000000" w:themeColor="text1"/>
        </w:rPr>
        <w:t>18 to 2019</w:t>
      </w:r>
      <w:r w:rsidR="009C067E">
        <w:rPr>
          <w:rFonts w:ascii="Arial" w:eastAsia="Arial" w:hAnsi="Arial" w:cs="Arial"/>
          <w:color w:val="000000" w:themeColor="text1"/>
        </w:rPr>
        <w:t>–</w:t>
      </w:r>
      <w:r w:rsidRPr="00F4519D">
        <w:rPr>
          <w:rFonts w:ascii="Arial" w:eastAsia="Arial" w:hAnsi="Arial" w:cs="Arial"/>
          <w:color w:val="000000" w:themeColor="text1"/>
        </w:rPr>
        <w:t xml:space="preserve">20. </w:t>
      </w:r>
    </w:p>
    <w:p w14:paraId="4B99056E" w14:textId="77777777" w:rsidR="00B47306" w:rsidRDefault="00B47306" w:rsidP="00B47306">
      <w:pPr>
        <w:rPr>
          <w:rFonts w:ascii="Arial" w:eastAsia="Arial" w:hAnsi="Arial" w:cs="Arial"/>
          <w:color w:val="000000" w:themeColor="text1"/>
        </w:rPr>
      </w:pPr>
    </w:p>
    <w:p w14:paraId="2EE7FD51" w14:textId="77777777" w:rsidR="00B47306" w:rsidRPr="005650A4" w:rsidRDefault="00B47306" w:rsidP="00B47306">
      <w:pPr>
        <w:pStyle w:val="Heading4"/>
        <w:spacing w:after="240"/>
        <w:rPr>
          <w:rFonts w:ascii="Arial" w:eastAsia="Arial" w:hAnsi="Arial" w:cs="Arial"/>
          <w:b/>
          <w:i w:val="0"/>
          <w:color w:val="000000" w:themeColor="text1"/>
          <w:sz w:val="28"/>
          <w:szCs w:val="28"/>
        </w:rPr>
      </w:pPr>
      <w:r>
        <w:rPr>
          <w:rFonts w:ascii="Arial" w:eastAsia="Arial" w:hAnsi="Arial" w:cs="Arial"/>
          <w:b/>
          <w:i w:val="0"/>
          <w:color w:val="000000" w:themeColor="text1"/>
          <w:sz w:val="28"/>
          <w:szCs w:val="28"/>
        </w:rPr>
        <w:t xml:space="preserve">Disproportionality in Student Group Transfers </w:t>
      </w:r>
    </w:p>
    <w:p w14:paraId="46A22647" w14:textId="30C15A5D" w:rsidR="00B47306" w:rsidRPr="00E705B2" w:rsidRDefault="00B47306" w:rsidP="00B47306">
      <w:pPr>
        <w:rPr>
          <w:rFonts w:ascii="Arial" w:eastAsia="Arial" w:hAnsi="Arial" w:cs="Arial"/>
          <w:color w:val="000000" w:themeColor="text1"/>
        </w:rPr>
      </w:pPr>
      <w:r w:rsidRPr="00E705B2">
        <w:rPr>
          <w:rFonts w:ascii="Arial" w:hAnsi="Arial" w:cs="Arial"/>
        </w:rPr>
        <w:t xml:space="preserve">The Disproportionality Index helps us determine whether </w:t>
      </w:r>
      <w:r>
        <w:rPr>
          <w:rFonts w:ascii="Arial" w:hAnsi="Arial" w:cs="Arial"/>
        </w:rPr>
        <w:t xml:space="preserve">a particular student group is being transferred at a higher or lower rate than expected, given the group’s actual numbers within </w:t>
      </w:r>
      <w:r w:rsidRPr="00E705B2">
        <w:rPr>
          <w:rFonts w:ascii="Arial" w:hAnsi="Arial" w:cs="Arial"/>
        </w:rPr>
        <w:t xml:space="preserve">the general student population. </w:t>
      </w:r>
      <w:r w:rsidRPr="00E705B2">
        <w:rPr>
          <w:rFonts w:ascii="Arial" w:eastAsia="Arial" w:hAnsi="Arial" w:cs="Arial"/>
          <w:color w:val="000000" w:themeColor="text1"/>
        </w:rPr>
        <w:t xml:space="preserve">An index of less than 1 indicates a lower representation of </w:t>
      </w:r>
      <w:r>
        <w:rPr>
          <w:rFonts w:ascii="Arial" w:eastAsia="Arial" w:hAnsi="Arial" w:cs="Arial"/>
          <w:color w:val="000000" w:themeColor="text1"/>
        </w:rPr>
        <w:t>the group</w:t>
      </w:r>
      <w:r w:rsidRPr="00E705B2">
        <w:rPr>
          <w:rFonts w:ascii="Arial" w:eastAsia="Arial" w:hAnsi="Arial" w:cs="Arial"/>
          <w:color w:val="000000" w:themeColor="text1"/>
        </w:rPr>
        <w:t xml:space="preserve"> in the transfer population compared to the general population, while an index of higher than 1 indicates a higher representation. If the index is 1 or close to 1, this indicates an equal or nearly equal representation. </w:t>
      </w:r>
    </w:p>
    <w:p w14:paraId="1299C43A" w14:textId="77777777" w:rsidR="00B47306" w:rsidRDefault="00B47306" w:rsidP="00B47306">
      <w:pPr>
        <w:rPr>
          <w:b/>
        </w:rPr>
      </w:pPr>
    </w:p>
    <w:p w14:paraId="1A455FFC" w14:textId="77777777" w:rsidR="00B47306" w:rsidRPr="00FC5101" w:rsidRDefault="00B47306" w:rsidP="00B47306">
      <w:pPr>
        <w:pStyle w:val="Heading5"/>
        <w:rPr>
          <w:rFonts w:ascii="Arial" w:hAnsi="Arial" w:cs="Arial"/>
          <w:b/>
          <w:color w:val="000000" w:themeColor="text1"/>
        </w:rPr>
      </w:pPr>
      <w:r w:rsidRPr="00FC5101">
        <w:rPr>
          <w:rFonts w:ascii="Arial" w:hAnsi="Arial" w:cs="Arial"/>
          <w:b/>
          <w:color w:val="000000" w:themeColor="text1"/>
        </w:rPr>
        <w:t>Race/Ethnicity Composition in Transfer Group Compared to Statewide Student Enrollment Population</w:t>
      </w:r>
    </w:p>
    <w:p w14:paraId="25FA3363" w14:textId="30BDE979" w:rsidR="00B47306" w:rsidRPr="00E705B2" w:rsidRDefault="00B47306" w:rsidP="00B47306">
      <w:pPr>
        <w:spacing w:before="240" w:after="240"/>
        <w:rPr>
          <w:rFonts w:ascii="Arial" w:hAnsi="Arial" w:cs="Arial"/>
        </w:rPr>
      </w:pPr>
      <w:r w:rsidRPr="00FC5101">
        <w:rPr>
          <w:rFonts w:ascii="Arial" w:hAnsi="Arial" w:cs="Arial"/>
        </w:rPr>
        <w:t>To check for disproportionality of race/ethnicity representation in our transfer population, transfer student group percentages were compared against statewide student group percentages.</w:t>
      </w:r>
      <w:r>
        <w:rPr>
          <w:rFonts w:ascii="Arial" w:hAnsi="Arial" w:cs="Arial"/>
        </w:rPr>
        <w:t xml:space="preserve"> T</w:t>
      </w:r>
      <w:r w:rsidRPr="00E705B2">
        <w:rPr>
          <w:rFonts w:ascii="Arial" w:hAnsi="Arial" w:cs="Arial"/>
        </w:rPr>
        <w:t xml:space="preserve">he </w:t>
      </w:r>
      <w:r w:rsidR="004B3B6B">
        <w:rPr>
          <w:rFonts w:ascii="Arial" w:hAnsi="Arial" w:cs="Arial"/>
        </w:rPr>
        <w:t>Disproportionality</w:t>
      </w:r>
      <w:r w:rsidR="00874F01">
        <w:rPr>
          <w:rFonts w:ascii="Arial" w:hAnsi="Arial" w:cs="Arial"/>
        </w:rPr>
        <w:t xml:space="preserve"> </w:t>
      </w:r>
      <w:r w:rsidR="004B3B6B">
        <w:rPr>
          <w:rFonts w:ascii="Arial" w:hAnsi="Arial" w:cs="Arial"/>
        </w:rPr>
        <w:t>I</w:t>
      </w:r>
      <w:r w:rsidR="00874F01">
        <w:rPr>
          <w:rFonts w:ascii="Arial" w:hAnsi="Arial" w:cs="Arial"/>
        </w:rPr>
        <w:t>ndex</w:t>
      </w:r>
      <w:r w:rsidRPr="00E705B2">
        <w:rPr>
          <w:rFonts w:ascii="Arial" w:hAnsi="Arial" w:cs="Arial"/>
        </w:rPr>
        <w:t xml:space="preserve"> for racial/ethnic student groups would be calculated as follows:</w:t>
      </w:r>
    </w:p>
    <w:p w14:paraId="0123A286" w14:textId="4642882F" w:rsidR="00B47306" w:rsidRPr="00546362" w:rsidRDefault="00B47306" w:rsidP="00B47306">
      <w:pPr>
        <w:spacing w:before="240"/>
      </w:pPr>
      <m:oMathPara>
        <m:oMath>
          <m:r>
            <m:rPr>
              <m:nor/>
            </m:rPr>
            <w:rPr>
              <w:rFonts w:ascii="Cambria Math"/>
            </w:rPr>
            <m:t xml:space="preserve">  </m:t>
          </m:r>
          <m:f>
            <m:fPr>
              <m:ctrlPr>
                <w:rPr>
                  <w:rFonts w:ascii="Cambria Math" w:hAnsi="Cambria Math"/>
                </w:rPr>
              </m:ctrlPr>
            </m:fPr>
            <m:num>
              <m:r>
                <m:rPr>
                  <m:nor/>
                </m:rPr>
                <m:t>Number of Transfer Students in Race or Ethnic Group</m:t>
              </m:r>
              <m:r>
                <m:rPr>
                  <m:nor/>
                </m:rPr>
                <w:rPr>
                  <w:rFonts w:ascii="Cambria Math"/>
                </w:rPr>
                <m:t xml:space="preserve"> </m:t>
              </m:r>
              <m:r>
                <m:rPr>
                  <m:nor/>
                </m:rPr>
                <m:t>÷</m:t>
              </m:r>
              <m:r>
                <m:rPr>
                  <m:nor/>
                </m:rPr>
                <w:rPr>
                  <w:rFonts w:ascii="Cambria Math"/>
                </w:rPr>
                <m:t xml:space="preserve"> </m:t>
              </m:r>
              <m:r>
                <m:rPr>
                  <m:nor/>
                </m:rPr>
                <m:t>Total Transfer Population</m:t>
              </m:r>
            </m:num>
            <m:den>
              <m:r>
                <m:rPr>
                  <m:nor/>
                </m:rPr>
                <m:t>Number of Students in Race or Ethnicity in Student Population ÷</m:t>
              </m:r>
              <m:r>
                <m:rPr>
                  <m:nor/>
                </m:rPr>
                <w:rPr>
                  <w:rFonts w:ascii="Cambria Math"/>
                </w:rPr>
                <m:t xml:space="preserve"> </m:t>
              </m:r>
              <m:r>
                <m:rPr>
                  <m:nor/>
                </m:rPr>
                <m:t>Total Student Population</m:t>
              </m:r>
            </m:den>
          </m:f>
        </m:oMath>
      </m:oMathPara>
    </w:p>
    <w:p w14:paraId="4DDBEF00" w14:textId="77777777" w:rsidR="00B47306" w:rsidRPr="00546362" w:rsidRDefault="00B47306" w:rsidP="00EC5836">
      <w:pPr>
        <w:spacing w:line="480" w:lineRule="auto"/>
        <w:rPr>
          <w:rFonts w:eastAsia="Arial" w:cs="Arial"/>
          <w:color w:val="000000" w:themeColor="text1"/>
        </w:rPr>
      </w:pPr>
    </w:p>
    <w:p w14:paraId="539E59BF" w14:textId="77777777" w:rsidR="00B47306" w:rsidRPr="001545A2" w:rsidRDefault="00B47306" w:rsidP="00B47306">
      <w:pPr>
        <w:pStyle w:val="Heading4"/>
        <w:rPr>
          <w:rFonts w:ascii="Arial" w:hAnsi="Arial" w:cs="Arial"/>
          <w:i w:val="0"/>
          <w:color w:val="000000" w:themeColor="text1"/>
        </w:rPr>
      </w:pPr>
      <w:r w:rsidRPr="001545A2">
        <w:rPr>
          <w:rFonts w:ascii="Arial" w:hAnsi="Arial" w:cs="Arial"/>
          <w:i w:val="0"/>
          <w:color w:val="000000" w:themeColor="text1"/>
        </w:rPr>
        <w:t>Table 4 provides the breakdown by racial and ethnic groups from 2017–18 through 2019–20.</w:t>
      </w:r>
    </w:p>
    <w:p w14:paraId="34CE0A41" w14:textId="77777777" w:rsidR="00B47306" w:rsidRDefault="00B47306" w:rsidP="00B47306">
      <w:pPr>
        <w:pStyle w:val="Heading4"/>
        <w:rPr>
          <w:rFonts w:ascii="Arial" w:hAnsi="Arial" w:cs="Arial"/>
          <w:b/>
          <w:i w:val="0"/>
          <w:color w:val="000000" w:themeColor="text1"/>
        </w:rPr>
      </w:pPr>
    </w:p>
    <w:p w14:paraId="62EBF3C5" w14:textId="77777777" w:rsidR="00B47306" w:rsidRDefault="00B47306" w:rsidP="00B47306">
      <w:pPr>
        <w:pStyle w:val="Heading4"/>
        <w:rPr>
          <w:rFonts w:ascii="Arial" w:hAnsi="Arial" w:cs="Arial"/>
          <w:b/>
          <w:i w:val="0"/>
          <w:color w:val="000000" w:themeColor="text1"/>
        </w:rPr>
        <w:sectPr w:rsidR="00B47306" w:rsidSect="00FF098A">
          <w:headerReference w:type="default" r:id="rId22"/>
          <w:footerReference w:type="default" r:id="rId23"/>
          <w:headerReference w:type="first" r:id="rId24"/>
          <w:pgSz w:w="12240" w:h="15840"/>
          <w:pgMar w:top="720" w:right="1440" w:bottom="1440" w:left="1440" w:header="720" w:footer="720" w:gutter="0"/>
          <w:pgNumType w:start="1"/>
          <w:cols w:space="720"/>
          <w:docGrid w:linePitch="326"/>
        </w:sectPr>
      </w:pPr>
    </w:p>
    <w:p w14:paraId="3C6FCFAD" w14:textId="77777777" w:rsidR="00B47306" w:rsidRPr="001545A2" w:rsidRDefault="00B47306" w:rsidP="00B47306">
      <w:pPr>
        <w:pStyle w:val="Heading5"/>
        <w:rPr>
          <w:rFonts w:ascii="Arial" w:hAnsi="Arial" w:cs="Arial"/>
          <w:b/>
          <w:color w:val="000000" w:themeColor="text1"/>
        </w:rPr>
      </w:pPr>
      <w:r w:rsidRPr="001545A2">
        <w:rPr>
          <w:rFonts w:ascii="Arial" w:hAnsi="Arial" w:cs="Arial"/>
          <w:b/>
          <w:color w:val="000000" w:themeColor="text1"/>
        </w:rPr>
        <w:lastRenderedPageBreak/>
        <w:t>Table 4. Disproportionality of Race/Ethnicity in 2017–18, 2018</w:t>
      </w:r>
      <w:r w:rsidRPr="001545A2">
        <w:rPr>
          <w:rFonts w:ascii="Arial" w:hAnsi="Arial" w:cs="Arial"/>
          <w:b/>
          <w:bCs/>
          <w:color w:val="000000" w:themeColor="text1"/>
          <w:szCs w:val="22"/>
        </w:rPr>
        <w:t>–</w:t>
      </w:r>
      <w:r w:rsidRPr="001545A2">
        <w:rPr>
          <w:rFonts w:ascii="Arial" w:hAnsi="Arial" w:cs="Arial"/>
          <w:b/>
          <w:color w:val="000000" w:themeColor="text1"/>
        </w:rPr>
        <w:t>19, and 2019–20</w:t>
      </w:r>
    </w:p>
    <w:p w14:paraId="6D98A12B" w14:textId="77777777" w:rsidR="00B47306" w:rsidRPr="00C87A95" w:rsidRDefault="00B47306" w:rsidP="00B47306"/>
    <w:tbl>
      <w:tblPr>
        <w:tblStyle w:val="TableGrid"/>
        <w:tblW w:w="0" w:type="auto"/>
        <w:tblLook w:val="04A0" w:firstRow="1" w:lastRow="0" w:firstColumn="1" w:lastColumn="0" w:noHBand="0" w:noVBand="1"/>
      </w:tblPr>
      <w:tblGrid>
        <w:gridCol w:w="1295"/>
        <w:gridCol w:w="1295"/>
        <w:gridCol w:w="1295"/>
        <w:gridCol w:w="1295"/>
        <w:gridCol w:w="1295"/>
        <w:gridCol w:w="1295"/>
        <w:gridCol w:w="1295"/>
        <w:gridCol w:w="1295"/>
        <w:gridCol w:w="1295"/>
        <w:gridCol w:w="1295"/>
      </w:tblGrid>
      <w:tr w:rsidR="007200F7" w14:paraId="29E4086D" w14:textId="77777777" w:rsidTr="003007CC">
        <w:tc>
          <w:tcPr>
            <w:tcW w:w="1295" w:type="dxa"/>
            <w:shd w:val="clear" w:color="auto" w:fill="D9D9D9" w:themeFill="background1" w:themeFillShade="D9"/>
            <w:vAlign w:val="center"/>
          </w:tcPr>
          <w:p w14:paraId="393DA1C4" w14:textId="77777777" w:rsidR="007200F7" w:rsidRPr="004B3B6B" w:rsidRDefault="007200F7" w:rsidP="003007CC">
            <w:pPr>
              <w:jc w:val="center"/>
              <w:textAlignment w:val="baseline"/>
              <w:rPr>
                <w:rFonts w:ascii="Arial" w:hAnsi="Arial" w:cs="Arial"/>
                <w:sz w:val="18"/>
                <w:szCs w:val="18"/>
              </w:rPr>
            </w:pPr>
            <w:r w:rsidRPr="004B3B6B">
              <w:rPr>
                <w:rFonts w:ascii="Arial" w:hAnsi="Arial" w:cs="Arial"/>
                <w:b/>
                <w:bCs/>
              </w:rPr>
              <w:t>Race/</w:t>
            </w:r>
            <w:r w:rsidRPr="004B3B6B">
              <w:rPr>
                <w:rFonts w:ascii="Arial" w:hAnsi="Arial" w:cs="Arial"/>
              </w:rPr>
              <w:t> </w:t>
            </w:r>
          </w:p>
          <w:p w14:paraId="0C73AEB4" w14:textId="77777777" w:rsidR="007200F7" w:rsidRPr="004B3B6B" w:rsidRDefault="007200F7" w:rsidP="003007CC">
            <w:pPr>
              <w:jc w:val="center"/>
              <w:textAlignment w:val="baseline"/>
              <w:rPr>
                <w:rFonts w:ascii="Arial" w:hAnsi="Arial" w:cs="Arial"/>
                <w:sz w:val="18"/>
                <w:szCs w:val="18"/>
              </w:rPr>
            </w:pPr>
            <w:r w:rsidRPr="004B3B6B">
              <w:rPr>
                <w:rFonts w:ascii="Arial" w:hAnsi="Arial" w:cs="Arial"/>
                <w:b/>
                <w:bCs/>
              </w:rPr>
              <w:t>Ethnicity Student Group</w:t>
            </w:r>
            <w:r w:rsidRPr="004B3B6B">
              <w:rPr>
                <w:rFonts w:ascii="Arial" w:hAnsi="Arial" w:cs="Arial"/>
              </w:rPr>
              <w:t> </w:t>
            </w:r>
          </w:p>
        </w:tc>
        <w:tc>
          <w:tcPr>
            <w:tcW w:w="1295" w:type="dxa"/>
            <w:shd w:val="clear" w:color="auto" w:fill="D9D9D9" w:themeFill="background1" w:themeFillShade="D9"/>
            <w:vAlign w:val="center"/>
          </w:tcPr>
          <w:p w14:paraId="4D01E257" w14:textId="77777777" w:rsidR="007200F7" w:rsidRPr="004B3B6B" w:rsidRDefault="007200F7" w:rsidP="003007CC">
            <w:pPr>
              <w:jc w:val="center"/>
              <w:textAlignment w:val="baseline"/>
              <w:rPr>
                <w:rFonts w:ascii="Arial" w:hAnsi="Arial" w:cs="Arial"/>
                <w:sz w:val="18"/>
                <w:szCs w:val="18"/>
              </w:rPr>
            </w:pPr>
            <w:r w:rsidRPr="004B3B6B">
              <w:rPr>
                <w:rFonts w:ascii="Arial" w:hAnsi="Arial" w:cs="Arial"/>
                <w:b/>
                <w:bCs/>
              </w:rPr>
              <w:t>Statewide % Enrolled in 2017–18</w:t>
            </w:r>
            <w:r w:rsidRPr="004B3B6B">
              <w:rPr>
                <w:rFonts w:ascii="Arial" w:hAnsi="Arial" w:cs="Arial"/>
              </w:rPr>
              <w:t> </w:t>
            </w:r>
          </w:p>
        </w:tc>
        <w:tc>
          <w:tcPr>
            <w:tcW w:w="1295" w:type="dxa"/>
            <w:shd w:val="clear" w:color="auto" w:fill="D9D9D9" w:themeFill="background1" w:themeFillShade="D9"/>
            <w:vAlign w:val="center"/>
          </w:tcPr>
          <w:p w14:paraId="5C551139" w14:textId="77777777" w:rsidR="007200F7" w:rsidRPr="004B3B6B" w:rsidRDefault="007200F7" w:rsidP="003007CC">
            <w:pPr>
              <w:jc w:val="center"/>
              <w:textAlignment w:val="baseline"/>
              <w:rPr>
                <w:rFonts w:ascii="Arial" w:hAnsi="Arial" w:cs="Arial"/>
                <w:sz w:val="18"/>
                <w:szCs w:val="18"/>
              </w:rPr>
            </w:pPr>
            <w:r w:rsidRPr="004B3B6B">
              <w:rPr>
                <w:rFonts w:ascii="Arial" w:hAnsi="Arial" w:cs="Arial"/>
                <w:b/>
                <w:bCs/>
              </w:rPr>
              <w:t>% of Students Transfer to DASS </w:t>
            </w:r>
            <w:r w:rsidRPr="004B3B6B">
              <w:rPr>
                <w:rFonts w:ascii="Arial" w:hAnsi="Arial" w:cs="Arial"/>
              </w:rPr>
              <w:t> </w:t>
            </w:r>
          </w:p>
          <w:p w14:paraId="4682ADF2" w14:textId="77777777" w:rsidR="007200F7" w:rsidRPr="004B3B6B" w:rsidRDefault="007200F7" w:rsidP="003007CC">
            <w:pPr>
              <w:jc w:val="center"/>
              <w:textAlignment w:val="baseline"/>
              <w:rPr>
                <w:rFonts w:ascii="Arial" w:hAnsi="Arial" w:cs="Arial"/>
                <w:sz w:val="18"/>
                <w:szCs w:val="18"/>
              </w:rPr>
            </w:pPr>
            <w:r w:rsidRPr="004B3B6B">
              <w:rPr>
                <w:rFonts w:ascii="Arial" w:hAnsi="Arial" w:cs="Arial"/>
                <w:b/>
                <w:bCs/>
              </w:rPr>
              <w:t>in 2017–18</w:t>
            </w:r>
            <w:r w:rsidRPr="004B3B6B">
              <w:rPr>
                <w:rFonts w:ascii="Arial" w:hAnsi="Arial" w:cs="Arial"/>
              </w:rPr>
              <w:t> </w:t>
            </w:r>
          </w:p>
        </w:tc>
        <w:tc>
          <w:tcPr>
            <w:tcW w:w="1295" w:type="dxa"/>
            <w:shd w:val="clear" w:color="auto" w:fill="D9D9D9" w:themeFill="background1" w:themeFillShade="D9"/>
            <w:vAlign w:val="center"/>
          </w:tcPr>
          <w:p w14:paraId="1E57E885" w14:textId="77777777" w:rsidR="007200F7" w:rsidRPr="004B3B6B" w:rsidRDefault="007200F7" w:rsidP="003007CC">
            <w:pPr>
              <w:jc w:val="center"/>
              <w:textAlignment w:val="baseline"/>
              <w:rPr>
                <w:rFonts w:ascii="Arial" w:hAnsi="Arial" w:cs="Arial"/>
                <w:sz w:val="18"/>
                <w:szCs w:val="18"/>
              </w:rPr>
            </w:pPr>
            <w:r w:rsidRPr="004B3B6B">
              <w:rPr>
                <w:rFonts w:ascii="Arial" w:hAnsi="Arial" w:cs="Arial"/>
                <w:b/>
                <w:bCs/>
              </w:rPr>
              <w:t>Statewide % Enrolled in 2018–19</w:t>
            </w:r>
            <w:r w:rsidRPr="004B3B6B">
              <w:rPr>
                <w:rFonts w:ascii="Arial" w:hAnsi="Arial" w:cs="Arial"/>
              </w:rPr>
              <w:t> </w:t>
            </w:r>
          </w:p>
        </w:tc>
        <w:tc>
          <w:tcPr>
            <w:tcW w:w="1295" w:type="dxa"/>
            <w:shd w:val="clear" w:color="auto" w:fill="D9D9D9" w:themeFill="background1" w:themeFillShade="D9"/>
            <w:vAlign w:val="center"/>
          </w:tcPr>
          <w:p w14:paraId="2D7FF45C" w14:textId="77777777" w:rsidR="007200F7" w:rsidRPr="004B3B6B" w:rsidRDefault="007200F7" w:rsidP="003007CC">
            <w:pPr>
              <w:jc w:val="center"/>
              <w:textAlignment w:val="baseline"/>
              <w:rPr>
                <w:rFonts w:ascii="Arial" w:hAnsi="Arial" w:cs="Arial"/>
                <w:sz w:val="18"/>
                <w:szCs w:val="18"/>
              </w:rPr>
            </w:pPr>
            <w:r w:rsidRPr="004B3B6B">
              <w:rPr>
                <w:rFonts w:ascii="Arial" w:hAnsi="Arial" w:cs="Arial"/>
                <w:b/>
                <w:bCs/>
              </w:rPr>
              <w:t>% of Students Transfer to DASS </w:t>
            </w:r>
            <w:r w:rsidRPr="004B3B6B">
              <w:rPr>
                <w:rFonts w:ascii="Arial" w:hAnsi="Arial" w:cs="Arial"/>
              </w:rPr>
              <w:t> </w:t>
            </w:r>
          </w:p>
          <w:p w14:paraId="20CE302F" w14:textId="77777777" w:rsidR="007200F7" w:rsidRPr="004B3B6B" w:rsidRDefault="007200F7" w:rsidP="003007CC">
            <w:pPr>
              <w:jc w:val="center"/>
              <w:textAlignment w:val="baseline"/>
              <w:rPr>
                <w:rFonts w:ascii="Arial" w:hAnsi="Arial" w:cs="Arial"/>
                <w:sz w:val="18"/>
                <w:szCs w:val="18"/>
              </w:rPr>
            </w:pPr>
            <w:r w:rsidRPr="004B3B6B">
              <w:rPr>
                <w:rFonts w:ascii="Arial" w:hAnsi="Arial" w:cs="Arial"/>
                <w:b/>
                <w:bCs/>
              </w:rPr>
              <w:t>in 2018–19</w:t>
            </w:r>
            <w:r w:rsidRPr="004B3B6B">
              <w:rPr>
                <w:rFonts w:ascii="Arial" w:hAnsi="Arial" w:cs="Arial"/>
              </w:rPr>
              <w:t> </w:t>
            </w:r>
          </w:p>
        </w:tc>
        <w:tc>
          <w:tcPr>
            <w:tcW w:w="1295" w:type="dxa"/>
            <w:shd w:val="clear" w:color="auto" w:fill="D9D9D9" w:themeFill="background1" w:themeFillShade="D9"/>
            <w:vAlign w:val="center"/>
          </w:tcPr>
          <w:p w14:paraId="211B4ED9" w14:textId="77777777" w:rsidR="007200F7" w:rsidRPr="004B3B6B" w:rsidRDefault="007200F7" w:rsidP="003007CC">
            <w:pPr>
              <w:jc w:val="center"/>
              <w:textAlignment w:val="baseline"/>
              <w:rPr>
                <w:rFonts w:ascii="Arial" w:hAnsi="Arial" w:cs="Arial"/>
                <w:sz w:val="18"/>
                <w:szCs w:val="18"/>
              </w:rPr>
            </w:pPr>
            <w:r w:rsidRPr="004B3B6B">
              <w:rPr>
                <w:rFonts w:ascii="Arial" w:hAnsi="Arial" w:cs="Arial"/>
                <w:b/>
                <w:bCs/>
              </w:rPr>
              <w:t>Statewide % Enrolled in 2019–20</w:t>
            </w:r>
            <w:r w:rsidRPr="004B3B6B">
              <w:rPr>
                <w:rFonts w:ascii="Arial" w:hAnsi="Arial" w:cs="Arial"/>
              </w:rPr>
              <w:t> </w:t>
            </w:r>
          </w:p>
        </w:tc>
        <w:tc>
          <w:tcPr>
            <w:tcW w:w="1295" w:type="dxa"/>
            <w:shd w:val="clear" w:color="auto" w:fill="D9D9D9" w:themeFill="background1" w:themeFillShade="D9"/>
            <w:vAlign w:val="center"/>
          </w:tcPr>
          <w:p w14:paraId="2FAC9128" w14:textId="77777777" w:rsidR="007200F7" w:rsidRPr="004B3B6B" w:rsidRDefault="007200F7" w:rsidP="003007CC">
            <w:pPr>
              <w:jc w:val="center"/>
              <w:textAlignment w:val="baseline"/>
              <w:rPr>
                <w:rFonts w:ascii="Arial" w:hAnsi="Arial" w:cs="Arial"/>
                <w:sz w:val="18"/>
                <w:szCs w:val="18"/>
              </w:rPr>
            </w:pPr>
            <w:r w:rsidRPr="004B3B6B">
              <w:rPr>
                <w:rFonts w:ascii="Arial" w:hAnsi="Arial" w:cs="Arial"/>
                <w:b/>
                <w:bCs/>
              </w:rPr>
              <w:t>% of Students Transfer to DASS </w:t>
            </w:r>
            <w:r w:rsidRPr="004B3B6B">
              <w:rPr>
                <w:rFonts w:ascii="Arial" w:hAnsi="Arial" w:cs="Arial"/>
              </w:rPr>
              <w:t> </w:t>
            </w:r>
          </w:p>
          <w:p w14:paraId="0A497976" w14:textId="77777777" w:rsidR="007200F7" w:rsidRPr="004B3B6B" w:rsidRDefault="007200F7" w:rsidP="003007CC">
            <w:pPr>
              <w:jc w:val="center"/>
              <w:textAlignment w:val="baseline"/>
              <w:rPr>
                <w:rFonts w:ascii="Arial" w:hAnsi="Arial" w:cs="Arial"/>
                <w:sz w:val="18"/>
                <w:szCs w:val="18"/>
              </w:rPr>
            </w:pPr>
            <w:r w:rsidRPr="004B3B6B">
              <w:rPr>
                <w:rFonts w:ascii="Arial" w:hAnsi="Arial" w:cs="Arial"/>
                <w:b/>
                <w:bCs/>
              </w:rPr>
              <w:t>in 2019–20</w:t>
            </w:r>
            <w:r w:rsidRPr="004B3B6B">
              <w:rPr>
                <w:rFonts w:ascii="Arial" w:hAnsi="Arial" w:cs="Arial"/>
              </w:rPr>
              <w:t> </w:t>
            </w:r>
          </w:p>
        </w:tc>
        <w:tc>
          <w:tcPr>
            <w:tcW w:w="1295" w:type="dxa"/>
            <w:shd w:val="clear" w:color="auto" w:fill="D9D9D9" w:themeFill="background1" w:themeFillShade="D9"/>
            <w:vAlign w:val="center"/>
          </w:tcPr>
          <w:p w14:paraId="3FC553BF" w14:textId="77777777" w:rsidR="007200F7" w:rsidRPr="004B3B6B" w:rsidRDefault="007200F7" w:rsidP="003007CC">
            <w:pPr>
              <w:jc w:val="center"/>
              <w:textAlignment w:val="baseline"/>
              <w:rPr>
                <w:rFonts w:ascii="Arial" w:hAnsi="Arial" w:cs="Arial"/>
                <w:b/>
                <w:bCs/>
              </w:rPr>
            </w:pPr>
            <w:r w:rsidRPr="004B3B6B">
              <w:rPr>
                <w:rFonts w:ascii="Arial" w:hAnsi="Arial" w:cs="Arial"/>
                <w:b/>
                <w:bCs/>
              </w:rPr>
              <w:t xml:space="preserve">DI in </w:t>
            </w:r>
          </w:p>
          <w:p w14:paraId="102AA2DA" w14:textId="77777777" w:rsidR="007200F7" w:rsidRPr="004B3B6B" w:rsidRDefault="007200F7" w:rsidP="003007CC">
            <w:pPr>
              <w:jc w:val="center"/>
              <w:textAlignment w:val="baseline"/>
              <w:rPr>
                <w:rFonts w:ascii="Arial" w:hAnsi="Arial" w:cs="Arial"/>
                <w:sz w:val="18"/>
                <w:szCs w:val="18"/>
              </w:rPr>
            </w:pPr>
            <w:r w:rsidRPr="004B3B6B">
              <w:rPr>
                <w:rFonts w:ascii="Arial" w:hAnsi="Arial" w:cs="Arial"/>
                <w:b/>
                <w:bCs/>
              </w:rPr>
              <w:t>2017–18</w:t>
            </w:r>
            <w:r w:rsidRPr="004B3B6B">
              <w:rPr>
                <w:rFonts w:ascii="Arial" w:hAnsi="Arial" w:cs="Arial"/>
              </w:rPr>
              <w:t> </w:t>
            </w:r>
          </w:p>
        </w:tc>
        <w:tc>
          <w:tcPr>
            <w:tcW w:w="1295" w:type="dxa"/>
            <w:shd w:val="clear" w:color="auto" w:fill="D9D9D9" w:themeFill="background1" w:themeFillShade="D9"/>
            <w:vAlign w:val="center"/>
          </w:tcPr>
          <w:p w14:paraId="4EB63E37" w14:textId="77777777" w:rsidR="007200F7" w:rsidRPr="004B3B6B" w:rsidRDefault="007200F7" w:rsidP="003007CC">
            <w:pPr>
              <w:jc w:val="center"/>
              <w:textAlignment w:val="baseline"/>
              <w:rPr>
                <w:rFonts w:ascii="Arial" w:hAnsi="Arial" w:cs="Arial"/>
                <w:b/>
                <w:bCs/>
              </w:rPr>
            </w:pPr>
            <w:r w:rsidRPr="004B3B6B">
              <w:rPr>
                <w:rFonts w:ascii="Arial" w:hAnsi="Arial" w:cs="Arial"/>
                <w:b/>
                <w:bCs/>
              </w:rPr>
              <w:t xml:space="preserve">DI in </w:t>
            </w:r>
          </w:p>
          <w:p w14:paraId="407DA696" w14:textId="77777777" w:rsidR="007200F7" w:rsidRPr="004B3B6B" w:rsidRDefault="007200F7" w:rsidP="003007CC">
            <w:pPr>
              <w:jc w:val="center"/>
              <w:textAlignment w:val="baseline"/>
              <w:rPr>
                <w:rFonts w:ascii="Arial" w:hAnsi="Arial" w:cs="Arial"/>
                <w:sz w:val="18"/>
                <w:szCs w:val="18"/>
              </w:rPr>
            </w:pPr>
            <w:r w:rsidRPr="004B3B6B">
              <w:rPr>
                <w:rFonts w:ascii="Arial" w:hAnsi="Arial" w:cs="Arial"/>
                <w:b/>
                <w:bCs/>
              </w:rPr>
              <w:t>2018–19</w:t>
            </w:r>
            <w:r w:rsidRPr="004B3B6B">
              <w:rPr>
                <w:rFonts w:ascii="Arial" w:hAnsi="Arial" w:cs="Arial"/>
              </w:rPr>
              <w:t> </w:t>
            </w:r>
          </w:p>
        </w:tc>
        <w:tc>
          <w:tcPr>
            <w:tcW w:w="1295" w:type="dxa"/>
            <w:shd w:val="clear" w:color="auto" w:fill="D9D9D9" w:themeFill="background1" w:themeFillShade="D9"/>
            <w:vAlign w:val="center"/>
          </w:tcPr>
          <w:p w14:paraId="2F6CA3D5" w14:textId="77777777" w:rsidR="007200F7" w:rsidRPr="004B3B6B" w:rsidRDefault="007200F7" w:rsidP="003007CC">
            <w:pPr>
              <w:jc w:val="center"/>
              <w:textAlignment w:val="baseline"/>
              <w:rPr>
                <w:rFonts w:ascii="Arial" w:hAnsi="Arial" w:cs="Arial"/>
                <w:sz w:val="18"/>
                <w:szCs w:val="18"/>
              </w:rPr>
            </w:pPr>
            <w:r w:rsidRPr="004B3B6B">
              <w:rPr>
                <w:rFonts w:ascii="Arial" w:hAnsi="Arial" w:cs="Arial"/>
                <w:b/>
                <w:bCs/>
              </w:rPr>
              <w:t>DI in</w:t>
            </w:r>
          </w:p>
          <w:p w14:paraId="75D5E5F6" w14:textId="77777777" w:rsidR="007200F7" w:rsidRPr="004B3B6B" w:rsidRDefault="007200F7" w:rsidP="003007CC">
            <w:pPr>
              <w:jc w:val="center"/>
              <w:textAlignment w:val="baseline"/>
              <w:rPr>
                <w:rFonts w:ascii="Arial" w:hAnsi="Arial" w:cs="Arial"/>
                <w:sz w:val="18"/>
                <w:szCs w:val="18"/>
              </w:rPr>
            </w:pPr>
            <w:r w:rsidRPr="004B3B6B">
              <w:rPr>
                <w:rFonts w:ascii="Arial" w:hAnsi="Arial" w:cs="Arial"/>
                <w:b/>
                <w:bCs/>
              </w:rPr>
              <w:t>2019–20</w:t>
            </w:r>
            <w:r w:rsidRPr="004B3B6B">
              <w:rPr>
                <w:rFonts w:ascii="Arial" w:hAnsi="Arial" w:cs="Arial"/>
              </w:rPr>
              <w:t> </w:t>
            </w:r>
          </w:p>
        </w:tc>
      </w:tr>
      <w:tr w:rsidR="007200F7" w14:paraId="410ED5AE" w14:textId="77777777" w:rsidTr="003007CC">
        <w:tc>
          <w:tcPr>
            <w:tcW w:w="1295" w:type="dxa"/>
            <w:vAlign w:val="center"/>
          </w:tcPr>
          <w:p w14:paraId="2C241364" w14:textId="77777777" w:rsidR="007200F7" w:rsidRPr="00056EDF" w:rsidRDefault="007200F7" w:rsidP="003007CC">
            <w:pPr>
              <w:textAlignment w:val="baseline"/>
              <w:rPr>
                <w:rFonts w:ascii="Arial" w:hAnsi="Arial" w:cs="Arial"/>
              </w:rPr>
            </w:pPr>
            <w:r w:rsidRPr="00056EDF">
              <w:rPr>
                <w:rFonts w:ascii="Arial" w:hAnsi="Arial" w:cs="Arial"/>
                <w:color w:val="000000"/>
                <w:shd w:val="clear" w:color="auto" w:fill="FFFFFF"/>
              </w:rPr>
              <w:t>African American</w:t>
            </w:r>
            <w:r w:rsidRPr="00056EDF">
              <w:rPr>
                <w:rFonts w:ascii="Arial" w:hAnsi="Arial" w:cs="Arial"/>
                <w:color w:val="000000"/>
              </w:rPr>
              <w:t> </w:t>
            </w:r>
          </w:p>
        </w:tc>
        <w:tc>
          <w:tcPr>
            <w:tcW w:w="1295" w:type="dxa"/>
            <w:vAlign w:val="center"/>
          </w:tcPr>
          <w:p w14:paraId="7F08BC57"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5.48%</w:t>
            </w:r>
            <w:r w:rsidRPr="00056EDF">
              <w:rPr>
                <w:rFonts w:ascii="Arial" w:hAnsi="Arial" w:cs="Arial"/>
                <w:color w:val="000000"/>
              </w:rPr>
              <w:t> </w:t>
            </w:r>
          </w:p>
        </w:tc>
        <w:tc>
          <w:tcPr>
            <w:tcW w:w="1295" w:type="dxa"/>
            <w:vAlign w:val="center"/>
          </w:tcPr>
          <w:p w14:paraId="0D2E4DB8"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10.23%</w:t>
            </w:r>
            <w:r w:rsidRPr="00056EDF">
              <w:rPr>
                <w:rFonts w:ascii="Arial" w:hAnsi="Arial" w:cs="Arial"/>
                <w:color w:val="000000"/>
              </w:rPr>
              <w:t> </w:t>
            </w:r>
          </w:p>
        </w:tc>
        <w:tc>
          <w:tcPr>
            <w:tcW w:w="1295" w:type="dxa"/>
            <w:vAlign w:val="center"/>
          </w:tcPr>
          <w:p w14:paraId="446845EA"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5.41%</w:t>
            </w:r>
            <w:r w:rsidRPr="00056EDF">
              <w:rPr>
                <w:rFonts w:ascii="Arial" w:hAnsi="Arial" w:cs="Arial"/>
                <w:color w:val="000000"/>
              </w:rPr>
              <w:t> </w:t>
            </w:r>
          </w:p>
        </w:tc>
        <w:tc>
          <w:tcPr>
            <w:tcW w:w="1295" w:type="dxa"/>
            <w:vAlign w:val="center"/>
          </w:tcPr>
          <w:p w14:paraId="6F4EF314"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9.54%</w:t>
            </w:r>
            <w:r w:rsidRPr="00056EDF">
              <w:rPr>
                <w:rFonts w:ascii="Arial" w:hAnsi="Arial" w:cs="Arial"/>
                <w:color w:val="000000"/>
              </w:rPr>
              <w:t> </w:t>
            </w:r>
          </w:p>
        </w:tc>
        <w:tc>
          <w:tcPr>
            <w:tcW w:w="1295" w:type="dxa"/>
            <w:vAlign w:val="center"/>
          </w:tcPr>
          <w:p w14:paraId="42D034A3" w14:textId="77777777" w:rsidR="007200F7" w:rsidRPr="00056EDF" w:rsidRDefault="007200F7" w:rsidP="003007CC">
            <w:pPr>
              <w:jc w:val="center"/>
              <w:textAlignment w:val="baseline"/>
              <w:rPr>
                <w:rFonts w:ascii="Arial" w:hAnsi="Arial" w:cs="Arial"/>
              </w:rPr>
            </w:pPr>
            <w:r w:rsidRPr="00056EDF">
              <w:rPr>
                <w:rFonts w:ascii="Arial" w:hAnsi="Arial" w:cs="Arial"/>
                <w:color w:val="000000"/>
              </w:rPr>
              <w:t>5.27% </w:t>
            </w:r>
          </w:p>
        </w:tc>
        <w:tc>
          <w:tcPr>
            <w:tcW w:w="1295" w:type="dxa"/>
            <w:vAlign w:val="center"/>
          </w:tcPr>
          <w:p w14:paraId="48801A1F" w14:textId="77777777" w:rsidR="007200F7" w:rsidRPr="00056EDF" w:rsidRDefault="007200F7" w:rsidP="003007CC">
            <w:pPr>
              <w:jc w:val="center"/>
              <w:textAlignment w:val="baseline"/>
              <w:rPr>
                <w:rFonts w:ascii="Arial" w:hAnsi="Arial" w:cs="Arial"/>
              </w:rPr>
            </w:pPr>
            <w:r w:rsidRPr="00056EDF">
              <w:rPr>
                <w:rFonts w:ascii="Arial" w:hAnsi="Arial" w:cs="Arial"/>
                <w:color w:val="000000"/>
              </w:rPr>
              <w:t>9.39% </w:t>
            </w:r>
          </w:p>
        </w:tc>
        <w:tc>
          <w:tcPr>
            <w:tcW w:w="1295" w:type="dxa"/>
            <w:vAlign w:val="center"/>
          </w:tcPr>
          <w:p w14:paraId="7576E6FC" w14:textId="77777777" w:rsidR="007200F7" w:rsidRPr="00056EDF" w:rsidRDefault="007200F7" w:rsidP="003007CC">
            <w:pPr>
              <w:jc w:val="center"/>
              <w:textAlignment w:val="baseline"/>
              <w:rPr>
                <w:rFonts w:ascii="Arial" w:hAnsi="Arial" w:cs="Arial"/>
              </w:rPr>
            </w:pPr>
            <w:r w:rsidRPr="00056EDF">
              <w:rPr>
                <w:rFonts w:ascii="Arial" w:hAnsi="Arial" w:cs="Arial"/>
              </w:rPr>
              <w:t>1.87 </w:t>
            </w:r>
          </w:p>
        </w:tc>
        <w:tc>
          <w:tcPr>
            <w:tcW w:w="1295" w:type="dxa"/>
            <w:vAlign w:val="center"/>
          </w:tcPr>
          <w:p w14:paraId="6D883593" w14:textId="77777777" w:rsidR="007200F7" w:rsidRPr="00056EDF" w:rsidRDefault="007200F7" w:rsidP="003007CC">
            <w:pPr>
              <w:jc w:val="center"/>
              <w:textAlignment w:val="baseline"/>
              <w:rPr>
                <w:rFonts w:ascii="Arial" w:hAnsi="Arial" w:cs="Arial"/>
              </w:rPr>
            </w:pPr>
            <w:r w:rsidRPr="00056EDF">
              <w:rPr>
                <w:rFonts w:ascii="Arial" w:hAnsi="Arial" w:cs="Arial"/>
              </w:rPr>
              <w:t>1.76 </w:t>
            </w:r>
          </w:p>
        </w:tc>
        <w:tc>
          <w:tcPr>
            <w:tcW w:w="1295" w:type="dxa"/>
            <w:vAlign w:val="center"/>
          </w:tcPr>
          <w:p w14:paraId="1D7C3520" w14:textId="77777777" w:rsidR="007200F7" w:rsidRPr="00056EDF" w:rsidRDefault="007200F7" w:rsidP="003007CC">
            <w:pPr>
              <w:jc w:val="center"/>
              <w:textAlignment w:val="baseline"/>
              <w:rPr>
                <w:rFonts w:ascii="Arial" w:hAnsi="Arial" w:cs="Arial"/>
              </w:rPr>
            </w:pPr>
            <w:r w:rsidRPr="00056EDF">
              <w:rPr>
                <w:rFonts w:ascii="Arial" w:hAnsi="Arial" w:cs="Arial"/>
                <w:color w:val="000000"/>
              </w:rPr>
              <w:t>1.78 </w:t>
            </w:r>
          </w:p>
        </w:tc>
      </w:tr>
      <w:tr w:rsidR="007200F7" w14:paraId="72DF1D27" w14:textId="77777777" w:rsidTr="003007CC">
        <w:tc>
          <w:tcPr>
            <w:tcW w:w="1295" w:type="dxa"/>
            <w:vAlign w:val="center"/>
          </w:tcPr>
          <w:p w14:paraId="712851DE" w14:textId="77777777" w:rsidR="007200F7" w:rsidRPr="00056EDF" w:rsidRDefault="007200F7" w:rsidP="003007CC">
            <w:pPr>
              <w:textAlignment w:val="baseline"/>
              <w:rPr>
                <w:rFonts w:ascii="Arial" w:hAnsi="Arial" w:cs="Arial"/>
              </w:rPr>
            </w:pPr>
            <w:r w:rsidRPr="00056EDF">
              <w:rPr>
                <w:rFonts w:ascii="Arial" w:hAnsi="Arial" w:cs="Arial"/>
                <w:color w:val="000000"/>
                <w:shd w:val="clear" w:color="auto" w:fill="FFFFFF"/>
              </w:rPr>
              <w:t>American Indian or Alaska Native</w:t>
            </w:r>
            <w:r w:rsidRPr="00056EDF">
              <w:rPr>
                <w:rFonts w:ascii="Arial" w:hAnsi="Arial" w:cs="Arial"/>
                <w:color w:val="000000"/>
              </w:rPr>
              <w:t> </w:t>
            </w:r>
          </w:p>
        </w:tc>
        <w:tc>
          <w:tcPr>
            <w:tcW w:w="1295" w:type="dxa"/>
            <w:vAlign w:val="center"/>
          </w:tcPr>
          <w:p w14:paraId="32D9B3CD"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0.52%</w:t>
            </w:r>
            <w:r w:rsidRPr="00056EDF">
              <w:rPr>
                <w:rFonts w:ascii="Arial" w:hAnsi="Arial" w:cs="Arial"/>
                <w:color w:val="000000"/>
              </w:rPr>
              <w:t> </w:t>
            </w:r>
          </w:p>
        </w:tc>
        <w:tc>
          <w:tcPr>
            <w:tcW w:w="1295" w:type="dxa"/>
            <w:vAlign w:val="center"/>
          </w:tcPr>
          <w:p w14:paraId="64D38694"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1.13%</w:t>
            </w:r>
            <w:r w:rsidRPr="00056EDF">
              <w:rPr>
                <w:rFonts w:ascii="Arial" w:hAnsi="Arial" w:cs="Arial"/>
                <w:color w:val="000000"/>
              </w:rPr>
              <w:t> </w:t>
            </w:r>
          </w:p>
        </w:tc>
        <w:tc>
          <w:tcPr>
            <w:tcW w:w="1295" w:type="dxa"/>
            <w:vAlign w:val="center"/>
          </w:tcPr>
          <w:p w14:paraId="21DEC411"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0.51%</w:t>
            </w:r>
            <w:r w:rsidRPr="00056EDF">
              <w:rPr>
                <w:rFonts w:ascii="Arial" w:hAnsi="Arial" w:cs="Arial"/>
                <w:color w:val="000000"/>
              </w:rPr>
              <w:t> </w:t>
            </w:r>
          </w:p>
        </w:tc>
        <w:tc>
          <w:tcPr>
            <w:tcW w:w="1295" w:type="dxa"/>
            <w:vAlign w:val="center"/>
          </w:tcPr>
          <w:p w14:paraId="7A149404"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1.09%</w:t>
            </w:r>
            <w:r w:rsidRPr="00056EDF">
              <w:rPr>
                <w:rFonts w:ascii="Arial" w:hAnsi="Arial" w:cs="Arial"/>
                <w:color w:val="000000"/>
              </w:rPr>
              <w:t> </w:t>
            </w:r>
          </w:p>
        </w:tc>
        <w:tc>
          <w:tcPr>
            <w:tcW w:w="1295" w:type="dxa"/>
            <w:vAlign w:val="center"/>
          </w:tcPr>
          <w:p w14:paraId="027F677A" w14:textId="77777777" w:rsidR="007200F7" w:rsidRPr="00056EDF" w:rsidRDefault="007200F7" w:rsidP="003007CC">
            <w:pPr>
              <w:jc w:val="center"/>
              <w:textAlignment w:val="baseline"/>
              <w:rPr>
                <w:rFonts w:ascii="Arial" w:hAnsi="Arial" w:cs="Arial"/>
              </w:rPr>
            </w:pPr>
            <w:r w:rsidRPr="00056EDF">
              <w:rPr>
                <w:rFonts w:ascii="Arial" w:hAnsi="Arial" w:cs="Arial"/>
                <w:color w:val="000000"/>
              </w:rPr>
              <w:t>0.49% </w:t>
            </w:r>
          </w:p>
        </w:tc>
        <w:tc>
          <w:tcPr>
            <w:tcW w:w="1295" w:type="dxa"/>
            <w:vAlign w:val="center"/>
          </w:tcPr>
          <w:p w14:paraId="6CB156E9" w14:textId="77777777" w:rsidR="007200F7" w:rsidRPr="00056EDF" w:rsidRDefault="007200F7" w:rsidP="003007CC">
            <w:pPr>
              <w:jc w:val="center"/>
              <w:textAlignment w:val="baseline"/>
              <w:rPr>
                <w:rFonts w:ascii="Arial" w:hAnsi="Arial" w:cs="Arial"/>
              </w:rPr>
            </w:pPr>
            <w:r w:rsidRPr="00056EDF">
              <w:rPr>
                <w:rFonts w:ascii="Arial" w:hAnsi="Arial" w:cs="Arial"/>
                <w:color w:val="000000"/>
              </w:rPr>
              <w:t>0.97% </w:t>
            </w:r>
          </w:p>
        </w:tc>
        <w:tc>
          <w:tcPr>
            <w:tcW w:w="1295" w:type="dxa"/>
            <w:vAlign w:val="center"/>
          </w:tcPr>
          <w:p w14:paraId="6A600D33" w14:textId="77777777" w:rsidR="007200F7" w:rsidRPr="00056EDF" w:rsidRDefault="007200F7" w:rsidP="003007CC">
            <w:pPr>
              <w:jc w:val="center"/>
              <w:textAlignment w:val="baseline"/>
              <w:rPr>
                <w:rFonts w:ascii="Arial" w:hAnsi="Arial" w:cs="Arial"/>
              </w:rPr>
            </w:pPr>
            <w:r w:rsidRPr="00056EDF">
              <w:rPr>
                <w:rFonts w:ascii="Arial" w:hAnsi="Arial" w:cs="Arial"/>
              </w:rPr>
              <w:t>2.16 </w:t>
            </w:r>
          </w:p>
        </w:tc>
        <w:tc>
          <w:tcPr>
            <w:tcW w:w="1295" w:type="dxa"/>
            <w:vAlign w:val="center"/>
          </w:tcPr>
          <w:p w14:paraId="01E7454F" w14:textId="77777777" w:rsidR="007200F7" w:rsidRPr="00056EDF" w:rsidRDefault="007200F7" w:rsidP="003007CC">
            <w:pPr>
              <w:jc w:val="center"/>
              <w:textAlignment w:val="baseline"/>
              <w:rPr>
                <w:rFonts w:ascii="Arial" w:hAnsi="Arial" w:cs="Arial"/>
              </w:rPr>
            </w:pPr>
            <w:r w:rsidRPr="00056EDF">
              <w:rPr>
                <w:rFonts w:ascii="Arial" w:hAnsi="Arial" w:cs="Arial"/>
              </w:rPr>
              <w:t>2.15 </w:t>
            </w:r>
          </w:p>
          <w:p w14:paraId="205A8AC5" w14:textId="77777777" w:rsidR="007200F7" w:rsidRPr="00056EDF" w:rsidRDefault="007200F7" w:rsidP="003007CC">
            <w:pPr>
              <w:textAlignment w:val="baseline"/>
              <w:rPr>
                <w:rFonts w:ascii="Arial" w:hAnsi="Arial" w:cs="Arial"/>
              </w:rPr>
            </w:pPr>
          </w:p>
        </w:tc>
        <w:tc>
          <w:tcPr>
            <w:tcW w:w="1295" w:type="dxa"/>
            <w:vAlign w:val="center"/>
          </w:tcPr>
          <w:p w14:paraId="4C8A5B58" w14:textId="77777777" w:rsidR="007200F7" w:rsidRPr="00056EDF" w:rsidRDefault="007200F7" w:rsidP="003007CC">
            <w:pPr>
              <w:jc w:val="center"/>
              <w:textAlignment w:val="baseline"/>
              <w:rPr>
                <w:rFonts w:ascii="Arial" w:hAnsi="Arial" w:cs="Arial"/>
              </w:rPr>
            </w:pPr>
            <w:r w:rsidRPr="00056EDF">
              <w:rPr>
                <w:rFonts w:ascii="Arial" w:hAnsi="Arial" w:cs="Arial"/>
              </w:rPr>
              <w:t>1.97</w:t>
            </w:r>
          </w:p>
        </w:tc>
      </w:tr>
      <w:tr w:rsidR="007200F7" w14:paraId="1381A879" w14:textId="77777777" w:rsidTr="003007CC">
        <w:tc>
          <w:tcPr>
            <w:tcW w:w="1295" w:type="dxa"/>
            <w:vAlign w:val="center"/>
          </w:tcPr>
          <w:p w14:paraId="746E475E" w14:textId="77777777" w:rsidR="007200F7" w:rsidRPr="00056EDF" w:rsidRDefault="007200F7" w:rsidP="003007CC">
            <w:pPr>
              <w:textAlignment w:val="baseline"/>
              <w:rPr>
                <w:rFonts w:ascii="Arial" w:hAnsi="Arial" w:cs="Arial"/>
              </w:rPr>
            </w:pPr>
            <w:r w:rsidRPr="00056EDF">
              <w:rPr>
                <w:rFonts w:ascii="Arial" w:hAnsi="Arial" w:cs="Arial"/>
                <w:color w:val="000000"/>
                <w:shd w:val="clear" w:color="auto" w:fill="FFFFFF"/>
              </w:rPr>
              <w:t>Asian</w:t>
            </w:r>
            <w:r w:rsidRPr="00056EDF">
              <w:rPr>
                <w:rFonts w:ascii="Arial" w:hAnsi="Arial" w:cs="Arial"/>
                <w:color w:val="000000"/>
              </w:rPr>
              <w:t> </w:t>
            </w:r>
          </w:p>
        </w:tc>
        <w:tc>
          <w:tcPr>
            <w:tcW w:w="1295" w:type="dxa"/>
            <w:vAlign w:val="center"/>
          </w:tcPr>
          <w:p w14:paraId="45B4D80F"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9.16%</w:t>
            </w:r>
            <w:r w:rsidRPr="00056EDF">
              <w:rPr>
                <w:rFonts w:ascii="Arial" w:hAnsi="Arial" w:cs="Arial"/>
                <w:color w:val="000000"/>
              </w:rPr>
              <w:t> </w:t>
            </w:r>
          </w:p>
        </w:tc>
        <w:tc>
          <w:tcPr>
            <w:tcW w:w="1295" w:type="dxa"/>
            <w:vAlign w:val="center"/>
          </w:tcPr>
          <w:p w14:paraId="45D19B7A"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1.70%</w:t>
            </w:r>
            <w:r w:rsidRPr="00056EDF">
              <w:rPr>
                <w:rFonts w:ascii="Arial" w:hAnsi="Arial" w:cs="Arial"/>
                <w:color w:val="000000"/>
              </w:rPr>
              <w:t> </w:t>
            </w:r>
          </w:p>
        </w:tc>
        <w:tc>
          <w:tcPr>
            <w:tcW w:w="1295" w:type="dxa"/>
            <w:vAlign w:val="center"/>
          </w:tcPr>
          <w:p w14:paraId="154683F8"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9.28%</w:t>
            </w:r>
            <w:r w:rsidRPr="00056EDF">
              <w:rPr>
                <w:rFonts w:ascii="Arial" w:hAnsi="Arial" w:cs="Arial"/>
                <w:color w:val="000000"/>
              </w:rPr>
              <w:t> </w:t>
            </w:r>
          </w:p>
        </w:tc>
        <w:tc>
          <w:tcPr>
            <w:tcW w:w="1295" w:type="dxa"/>
            <w:vAlign w:val="center"/>
          </w:tcPr>
          <w:p w14:paraId="4D41831B"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1.85%</w:t>
            </w:r>
            <w:r w:rsidRPr="00056EDF">
              <w:rPr>
                <w:rFonts w:ascii="Arial" w:hAnsi="Arial" w:cs="Arial"/>
                <w:color w:val="000000"/>
              </w:rPr>
              <w:t> </w:t>
            </w:r>
          </w:p>
        </w:tc>
        <w:tc>
          <w:tcPr>
            <w:tcW w:w="1295" w:type="dxa"/>
            <w:vAlign w:val="center"/>
          </w:tcPr>
          <w:p w14:paraId="654F7D9F" w14:textId="77777777" w:rsidR="007200F7" w:rsidRPr="00056EDF" w:rsidRDefault="007200F7" w:rsidP="003007CC">
            <w:pPr>
              <w:jc w:val="center"/>
              <w:textAlignment w:val="baseline"/>
              <w:rPr>
                <w:rFonts w:ascii="Arial" w:hAnsi="Arial" w:cs="Arial"/>
              </w:rPr>
            </w:pPr>
            <w:r w:rsidRPr="00056EDF">
              <w:rPr>
                <w:rFonts w:ascii="Arial" w:hAnsi="Arial" w:cs="Arial"/>
                <w:color w:val="000000"/>
              </w:rPr>
              <w:t>9.33% </w:t>
            </w:r>
          </w:p>
        </w:tc>
        <w:tc>
          <w:tcPr>
            <w:tcW w:w="1295" w:type="dxa"/>
            <w:vAlign w:val="center"/>
          </w:tcPr>
          <w:p w14:paraId="35931C4C" w14:textId="77777777" w:rsidR="007200F7" w:rsidRPr="00056EDF" w:rsidRDefault="007200F7" w:rsidP="003007CC">
            <w:pPr>
              <w:jc w:val="center"/>
              <w:textAlignment w:val="baseline"/>
              <w:rPr>
                <w:rFonts w:ascii="Arial" w:hAnsi="Arial" w:cs="Arial"/>
              </w:rPr>
            </w:pPr>
            <w:r w:rsidRPr="00056EDF">
              <w:rPr>
                <w:rFonts w:ascii="Arial" w:hAnsi="Arial" w:cs="Arial"/>
                <w:color w:val="000000"/>
              </w:rPr>
              <w:t>1.81% </w:t>
            </w:r>
          </w:p>
        </w:tc>
        <w:tc>
          <w:tcPr>
            <w:tcW w:w="1295" w:type="dxa"/>
            <w:vAlign w:val="center"/>
          </w:tcPr>
          <w:p w14:paraId="67B159C9" w14:textId="77777777" w:rsidR="007200F7" w:rsidRPr="00056EDF" w:rsidRDefault="007200F7" w:rsidP="003007CC">
            <w:pPr>
              <w:jc w:val="center"/>
              <w:textAlignment w:val="baseline"/>
              <w:rPr>
                <w:rFonts w:ascii="Arial" w:hAnsi="Arial" w:cs="Arial"/>
              </w:rPr>
            </w:pPr>
            <w:r w:rsidRPr="00056EDF">
              <w:rPr>
                <w:rFonts w:ascii="Arial" w:hAnsi="Arial" w:cs="Arial"/>
              </w:rPr>
              <w:t>0.19 </w:t>
            </w:r>
          </w:p>
        </w:tc>
        <w:tc>
          <w:tcPr>
            <w:tcW w:w="1295" w:type="dxa"/>
            <w:vAlign w:val="center"/>
          </w:tcPr>
          <w:p w14:paraId="19CE6D7B" w14:textId="77777777" w:rsidR="007200F7" w:rsidRPr="00056EDF" w:rsidRDefault="007200F7" w:rsidP="003007CC">
            <w:pPr>
              <w:jc w:val="center"/>
              <w:textAlignment w:val="baseline"/>
              <w:rPr>
                <w:rFonts w:ascii="Arial" w:hAnsi="Arial" w:cs="Arial"/>
              </w:rPr>
            </w:pPr>
            <w:r w:rsidRPr="00056EDF">
              <w:rPr>
                <w:rFonts w:ascii="Arial" w:hAnsi="Arial" w:cs="Arial"/>
              </w:rPr>
              <w:t>0.20 </w:t>
            </w:r>
          </w:p>
        </w:tc>
        <w:tc>
          <w:tcPr>
            <w:tcW w:w="1295" w:type="dxa"/>
            <w:vAlign w:val="center"/>
          </w:tcPr>
          <w:p w14:paraId="1F4ACC05" w14:textId="77777777" w:rsidR="007200F7" w:rsidRPr="00056EDF" w:rsidRDefault="007200F7" w:rsidP="003007CC">
            <w:pPr>
              <w:jc w:val="center"/>
              <w:textAlignment w:val="baseline"/>
              <w:rPr>
                <w:rFonts w:ascii="Arial" w:hAnsi="Arial" w:cs="Arial"/>
              </w:rPr>
            </w:pPr>
            <w:r w:rsidRPr="00056EDF">
              <w:rPr>
                <w:rFonts w:ascii="Arial" w:hAnsi="Arial" w:cs="Arial"/>
                <w:color w:val="000000" w:themeColor="text1"/>
              </w:rPr>
              <w:t>0.19 </w:t>
            </w:r>
          </w:p>
        </w:tc>
      </w:tr>
      <w:tr w:rsidR="007200F7" w14:paraId="243B24DE" w14:textId="77777777" w:rsidTr="003007CC">
        <w:tc>
          <w:tcPr>
            <w:tcW w:w="1295" w:type="dxa"/>
            <w:vAlign w:val="center"/>
          </w:tcPr>
          <w:p w14:paraId="7028D676" w14:textId="77777777" w:rsidR="007200F7" w:rsidRPr="00056EDF" w:rsidRDefault="007200F7" w:rsidP="003007CC">
            <w:pPr>
              <w:textAlignment w:val="baseline"/>
              <w:rPr>
                <w:rFonts w:ascii="Arial" w:hAnsi="Arial" w:cs="Arial"/>
              </w:rPr>
            </w:pPr>
            <w:r w:rsidRPr="00056EDF">
              <w:rPr>
                <w:rFonts w:ascii="Arial" w:hAnsi="Arial" w:cs="Arial"/>
                <w:color w:val="000000"/>
                <w:shd w:val="clear" w:color="auto" w:fill="FFFFFF"/>
              </w:rPr>
              <w:t>Filipino</w:t>
            </w:r>
            <w:r w:rsidRPr="00056EDF">
              <w:rPr>
                <w:rFonts w:ascii="Arial" w:hAnsi="Arial" w:cs="Arial"/>
                <w:color w:val="000000"/>
              </w:rPr>
              <w:t> </w:t>
            </w:r>
          </w:p>
        </w:tc>
        <w:tc>
          <w:tcPr>
            <w:tcW w:w="1295" w:type="dxa"/>
            <w:vAlign w:val="center"/>
          </w:tcPr>
          <w:p w14:paraId="69B86905"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2.44%</w:t>
            </w:r>
            <w:r w:rsidRPr="00056EDF">
              <w:rPr>
                <w:rFonts w:ascii="Arial" w:hAnsi="Arial" w:cs="Arial"/>
                <w:color w:val="000000"/>
              </w:rPr>
              <w:t> </w:t>
            </w:r>
          </w:p>
        </w:tc>
        <w:tc>
          <w:tcPr>
            <w:tcW w:w="1295" w:type="dxa"/>
            <w:vAlign w:val="center"/>
          </w:tcPr>
          <w:p w14:paraId="62A1E445"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0.78%</w:t>
            </w:r>
            <w:r w:rsidRPr="00056EDF">
              <w:rPr>
                <w:rFonts w:ascii="Arial" w:hAnsi="Arial" w:cs="Arial"/>
                <w:color w:val="000000"/>
              </w:rPr>
              <w:t> </w:t>
            </w:r>
          </w:p>
        </w:tc>
        <w:tc>
          <w:tcPr>
            <w:tcW w:w="1295" w:type="dxa"/>
            <w:vAlign w:val="center"/>
          </w:tcPr>
          <w:p w14:paraId="77BF03C7"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2.42%</w:t>
            </w:r>
            <w:r w:rsidRPr="00056EDF">
              <w:rPr>
                <w:rFonts w:ascii="Arial" w:hAnsi="Arial" w:cs="Arial"/>
                <w:color w:val="000000"/>
              </w:rPr>
              <w:t> </w:t>
            </w:r>
          </w:p>
        </w:tc>
        <w:tc>
          <w:tcPr>
            <w:tcW w:w="1295" w:type="dxa"/>
            <w:vAlign w:val="center"/>
          </w:tcPr>
          <w:p w14:paraId="7600EBE4"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0.78%</w:t>
            </w:r>
            <w:r w:rsidRPr="00056EDF">
              <w:rPr>
                <w:rFonts w:ascii="Arial" w:hAnsi="Arial" w:cs="Arial"/>
                <w:color w:val="000000"/>
              </w:rPr>
              <w:t> </w:t>
            </w:r>
          </w:p>
        </w:tc>
        <w:tc>
          <w:tcPr>
            <w:tcW w:w="1295" w:type="dxa"/>
            <w:vAlign w:val="center"/>
          </w:tcPr>
          <w:p w14:paraId="1C667ABF" w14:textId="77777777" w:rsidR="007200F7" w:rsidRPr="00056EDF" w:rsidRDefault="007200F7" w:rsidP="003007CC">
            <w:pPr>
              <w:jc w:val="center"/>
              <w:textAlignment w:val="baseline"/>
              <w:rPr>
                <w:rFonts w:ascii="Arial" w:hAnsi="Arial" w:cs="Arial"/>
              </w:rPr>
            </w:pPr>
            <w:r w:rsidRPr="00056EDF">
              <w:rPr>
                <w:rFonts w:ascii="Arial" w:hAnsi="Arial" w:cs="Arial"/>
                <w:color w:val="000000"/>
              </w:rPr>
              <w:t>2.38% </w:t>
            </w:r>
          </w:p>
        </w:tc>
        <w:tc>
          <w:tcPr>
            <w:tcW w:w="1295" w:type="dxa"/>
            <w:vAlign w:val="center"/>
          </w:tcPr>
          <w:p w14:paraId="227FC10A" w14:textId="77777777" w:rsidR="007200F7" w:rsidRPr="00056EDF" w:rsidRDefault="007200F7" w:rsidP="003007CC">
            <w:pPr>
              <w:jc w:val="center"/>
              <w:textAlignment w:val="baseline"/>
              <w:rPr>
                <w:rFonts w:ascii="Arial" w:hAnsi="Arial" w:cs="Arial"/>
              </w:rPr>
            </w:pPr>
            <w:r w:rsidRPr="00056EDF">
              <w:rPr>
                <w:rFonts w:ascii="Arial" w:hAnsi="Arial" w:cs="Arial"/>
                <w:color w:val="000000"/>
              </w:rPr>
              <w:t>0.82% </w:t>
            </w:r>
          </w:p>
        </w:tc>
        <w:tc>
          <w:tcPr>
            <w:tcW w:w="1295" w:type="dxa"/>
            <w:vAlign w:val="center"/>
          </w:tcPr>
          <w:p w14:paraId="1A1D5355" w14:textId="77777777" w:rsidR="007200F7" w:rsidRPr="00056EDF" w:rsidRDefault="007200F7" w:rsidP="003007CC">
            <w:pPr>
              <w:jc w:val="center"/>
              <w:textAlignment w:val="baseline"/>
              <w:rPr>
                <w:rFonts w:ascii="Arial" w:hAnsi="Arial" w:cs="Arial"/>
              </w:rPr>
            </w:pPr>
            <w:r w:rsidRPr="00056EDF">
              <w:rPr>
                <w:rFonts w:ascii="Arial" w:hAnsi="Arial" w:cs="Arial"/>
              </w:rPr>
              <w:t>0.32 </w:t>
            </w:r>
          </w:p>
        </w:tc>
        <w:tc>
          <w:tcPr>
            <w:tcW w:w="1295" w:type="dxa"/>
            <w:vAlign w:val="center"/>
          </w:tcPr>
          <w:p w14:paraId="7212AE48" w14:textId="77777777" w:rsidR="007200F7" w:rsidRPr="00056EDF" w:rsidRDefault="007200F7" w:rsidP="003007CC">
            <w:pPr>
              <w:jc w:val="center"/>
              <w:textAlignment w:val="baseline"/>
              <w:rPr>
                <w:rFonts w:ascii="Arial" w:hAnsi="Arial" w:cs="Arial"/>
              </w:rPr>
            </w:pPr>
            <w:r w:rsidRPr="00056EDF">
              <w:rPr>
                <w:rFonts w:ascii="Arial" w:hAnsi="Arial" w:cs="Arial"/>
              </w:rPr>
              <w:t>0.32 </w:t>
            </w:r>
          </w:p>
        </w:tc>
        <w:tc>
          <w:tcPr>
            <w:tcW w:w="1295" w:type="dxa"/>
            <w:vAlign w:val="center"/>
          </w:tcPr>
          <w:p w14:paraId="51B4E828" w14:textId="77777777" w:rsidR="007200F7" w:rsidRPr="00056EDF" w:rsidRDefault="007200F7" w:rsidP="003007CC">
            <w:pPr>
              <w:jc w:val="center"/>
              <w:textAlignment w:val="baseline"/>
              <w:rPr>
                <w:rFonts w:ascii="Arial" w:hAnsi="Arial" w:cs="Arial"/>
              </w:rPr>
            </w:pPr>
            <w:r w:rsidRPr="00056EDF">
              <w:rPr>
                <w:rFonts w:ascii="Arial" w:hAnsi="Arial" w:cs="Arial"/>
                <w:color w:val="000000" w:themeColor="text1"/>
              </w:rPr>
              <w:t>0.34 </w:t>
            </w:r>
          </w:p>
        </w:tc>
      </w:tr>
      <w:tr w:rsidR="007200F7" w14:paraId="1404847D" w14:textId="77777777" w:rsidTr="003007CC">
        <w:tc>
          <w:tcPr>
            <w:tcW w:w="1295" w:type="dxa"/>
            <w:vAlign w:val="center"/>
          </w:tcPr>
          <w:p w14:paraId="0C02266D" w14:textId="77777777" w:rsidR="007200F7" w:rsidRPr="00056EDF" w:rsidRDefault="007200F7" w:rsidP="003007CC">
            <w:pPr>
              <w:textAlignment w:val="baseline"/>
              <w:rPr>
                <w:rFonts w:ascii="Arial" w:hAnsi="Arial" w:cs="Arial"/>
              </w:rPr>
            </w:pPr>
            <w:r w:rsidRPr="00056EDF">
              <w:rPr>
                <w:rFonts w:ascii="Arial" w:hAnsi="Arial" w:cs="Arial"/>
                <w:color w:val="000000"/>
                <w:shd w:val="clear" w:color="auto" w:fill="FFFFFF"/>
              </w:rPr>
              <w:t>Hispanic or Latino</w:t>
            </w:r>
            <w:r w:rsidRPr="00056EDF">
              <w:rPr>
                <w:rFonts w:ascii="Arial" w:hAnsi="Arial" w:cs="Arial"/>
                <w:color w:val="000000"/>
              </w:rPr>
              <w:t> </w:t>
            </w:r>
          </w:p>
        </w:tc>
        <w:tc>
          <w:tcPr>
            <w:tcW w:w="1295" w:type="dxa"/>
            <w:vAlign w:val="center"/>
          </w:tcPr>
          <w:p w14:paraId="4988EBE7"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54.28%</w:t>
            </w:r>
            <w:r w:rsidRPr="00056EDF">
              <w:rPr>
                <w:rFonts w:ascii="Arial" w:hAnsi="Arial" w:cs="Arial"/>
                <w:color w:val="000000"/>
              </w:rPr>
              <w:t> </w:t>
            </w:r>
          </w:p>
        </w:tc>
        <w:tc>
          <w:tcPr>
            <w:tcW w:w="1295" w:type="dxa"/>
            <w:vAlign w:val="center"/>
          </w:tcPr>
          <w:p w14:paraId="24CEE1A0"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65.18%</w:t>
            </w:r>
            <w:r w:rsidRPr="00056EDF">
              <w:rPr>
                <w:rFonts w:ascii="Arial" w:hAnsi="Arial" w:cs="Arial"/>
                <w:color w:val="000000"/>
              </w:rPr>
              <w:t> </w:t>
            </w:r>
          </w:p>
        </w:tc>
        <w:tc>
          <w:tcPr>
            <w:tcW w:w="1295" w:type="dxa"/>
            <w:vAlign w:val="center"/>
          </w:tcPr>
          <w:p w14:paraId="2FB26F66"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54.60%</w:t>
            </w:r>
            <w:r w:rsidRPr="00056EDF">
              <w:rPr>
                <w:rFonts w:ascii="Arial" w:hAnsi="Arial" w:cs="Arial"/>
                <w:color w:val="000000"/>
              </w:rPr>
              <w:t> </w:t>
            </w:r>
          </w:p>
        </w:tc>
        <w:tc>
          <w:tcPr>
            <w:tcW w:w="1295" w:type="dxa"/>
            <w:vAlign w:val="center"/>
          </w:tcPr>
          <w:p w14:paraId="6B685F57"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64.70%</w:t>
            </w:r>
            <w:r w:rsidRPr="00056EDF">
              <w:rPr>
                <w:rFonts w:ascii="Arial" w:hAnsi="Arial" w:cs="Arial"/>
                <w:color w:val="000000"/>
              </w:rPr>
              <w:t> </w:t>
            </w:r>
          </w:p>
        </w:tc>
        <w:tc>
          <w:tcPr>
            <w:tcW w:w="1295" w:type="dxa"/>
            <w:vAlign w:val="center"/>
          </w:tcPr>
          <w:p w14:paraId="1E1E6ACB" w14:textId="77777777" w:rsidR="007200F7" w:rsidRPr="00056EDF" w:rsidRDefault="007200F7" w:rsidP="003007CC">
            <w:pPr>
              <w:jc w:val="center"/>
              <w:textAlignment w:val="baseline"/>
              <w:rPr>
                <w:rFonts w:ascii="Arial" w:hAnsi="Arial" w:cs="Arial"/>
              </w:rPr>
            </w:pPr>
            <w:r w:rsidRPr="00056EDF">
              <w:rPr>
                <w:rFonts w:ascii="Arial" w:hAnsi="Arial" w:cs="Arial"/>
                <w:color w:val="000000"/>
              </w:rPr>
              <w:t>54.86% </w:t>
            </w:r>
          </w:p>
        </w:tc>
        <w:tc>
          <w:tcPr>
            <w:tcW w:w="1295" w:type="dxa"/>
            <w:vAlign w:val="center"/>
          </w:tcPr>
          <w:p w14:paraId="0FF3ADAA" w14:textId="77777777" w:rsidR="007200F7" w:rsidRPr="00056EDF" w:rsidRDefault="007200F7" w:rsidP="003007CC">
            <w:pPr>
              <w:jc w:val="center"/>
              <w:textAlignment w:val="baseline"/>
              <w:rPr>
                <w:rFonts w:ascii="Arial" w:hAnsi="Arial" w:cs="Arial"/>
              </w:rPr>
            </w:pPr>
            <w:r w:rsidRPr="00056EDF">
              <w:rPr>
                <w:rFonts w:ascii="Arial" w:hAnsi="Arial" w:cs="Arial"/>
                <w:color w:val="000000"/>
              </w:rPr>
              <w:t>68.19% </w:t>
            </w:r>
          </w:p>
        </w:tc>
        <w:tc>
          <w:tcPr>
            <w:tcW w:w="1295" w:type="dxa"/>
            <w:vAlign w:val="center"/>
          </w:tcPr>
          <w:p w14:paraId="125A03EA" w14:textId="77777777" w:rsidR="007200F7" w:rsidRPr="00056EDF" w:rsidRDefault="007200F7" w:rsidP="003007CC">
            <w:pPr>
              <w:jc w:val="center"/>
              <w:textAlignment w:val="baseline"/>
              <w:rPr>
                <w:rFonts w:ascii="Arial" w:hAnsi="Arial" w:cs="Arial"/>
              </w:rPr>
            </w:pPr>
            <w:r w:rsidRPr="00056EDF">
              <w:rPr>
                <w:rFonts w:ascii="Arial" w:hAnsi="Arial" w:cs="Arial"/>
              </w:rPr>
              <w:t>1.20 </w:t>
            </w:r>
          </w:p>
        </w:tc>
        <w:tc>
          <w:tcPr>
            <w:tcW w:w="1295" w:type="dxa"/>
            <w:vAlign w:val="center"/>
          </w:tcPr>
          <w:p w14:paraId="2254E17B" w14:textId="77777777" w:rsidR="007200F7" w:rsidRPr="00056EDF" w:rsidRDefault="007200F7" w:rsidP="003007CC">
            <w:pPr>
              <w:jc w:val="center"/>
              <w:textAlignment w:val="baseline"/>
              <w:rPr>
                <w:rFonts w:ascii="Arial" w:hAnsi="Arial" w:cs="Arial"/>
              </w:rPr>
            </w:pPr>
            <w:r w:rsidRPr="00056EDF">
              <w:rPr>
                <w:rFonts w:ascii="Arial" w:hAnsi="Arial" w:cs="Arial"/>
              </w:rPr>
              <w:t>1.19 </w:t>
            </w:r>
          </w:p>
        </w:tc>
        <w:tc>
          <w:tcPr>
            <w:tcW w:w="1295" w:type="dxa"/>
            <w:vAlign w:val="center"/>
          </w:tcPr>
          <w:p w14:paraId="2D5AEB60" w14:textId="77777777" w:rsidR="007200F7" w:rsidRPr="00056EDF" w:rsidRDefault="007200F7" w:rsidP="003007CC">
            <w:pPr>
              <w:jc w:val="center"/>
              <w:textAlignment w:val="baseline"/>
              <w:rPr>
                <w:rFonts w:ascii="Arial" w:hAnsi="Arial" w:cs="Arial"/>
              </w:rPr>
            </w:pPr>
            <w:r w:rsidRPr="00056EDF">
              <w:rPr>
                <w:rFonts w:ascii="Arial" w:hAnsi="Arial" w:cs="Arial"/>
                <w:color w:val="000000" w:themeColor="text1"/>
              </w:rPr>
              <w:t>1.24 </w:t>
            </w:r>
          </w:p>
        </w:tc>
      </w:tr>
      <w:tr w:rsidR="007200F7" w14:paraId="7F8C3DA3" w14:textId="77777777" w:rsidTr="003007CC">
        <w:tc>
          <w:tcPr>
            <w:tcW w:w="1295" w:type="dxa"/>
            <w:vAlign w:val="center"/>
          </w:tcPr>
          <w:p w14:paraId="0C5B753F" w14:textId="77777777" w:rsidR="007200F7" w:rsidRPr="00056EDF" w:rsidRDefault="007200F7" w:rsidP="003007CC">
            <w:pPr>
              <w:textAlignment w:val="baseline"/>
              <w:rPr>
                <w:rFonts w:ascii="Arial" w:hAnsi="Arial" w:cs="Arial"/>
              </w:rPr>
            </w:pPr>
            <w:r w:rsidRPr="00056EDF">
              <w:rPr>
                <w:rFonts w:ascii="Arial" w:hAnsi="Arial" w:cs="Arial"/>
                <w:color w:val="000000"/>
                <w:shd w:val="clear" w:color="auto" w:fill="FFFFFF"/>
              </w:rPr>
              <w:t>Native Hawaiian or Pacific Islander</w:t>
            </w:r>
            <w:r w:rsidRPr="00056EDF">
              <w:rPr>
                <w:rFonts w:ascii="Arial" w:hAnsi="Arial" w:cs="Arial"/>
                <w:color w:val="000000"/>
              </w:rPr>
              <w:t> </w:t>
            </w:r>
          </w:p>
        </w:tc>
        <w:tc>
          <w:tcPr>
            <w:tcW w:w="1295" w:type="dxa"/>
            <w:vAlign w:val="center"/>
          </w:tcPr>
          <w:p w14:paraId="2BADB074"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0.46%</w:t>
            </w:r>
            <w:r w:rsidRPr="00056EDF">
              <w:rPr>
                <w:rFonts w:ascii="Arial" w:hAnsi="Arial" w:cs="Arial"/>
                <w:color w:val="000000"/>
              </w:rPr>
              <w:t> </w:t>
            </w:r>
          </w:p>
        </w:tc>
        <w:tc>
          <w:tcPr>
            <w:tcW w:w="1295" w:type="dxa"/>
            <w:vAlign w:val="center"/>
          </w:tcPr>
          <w:p w14:paraId="41571F51"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0.60%</w:t>
            </w:r>
            <w:r w:rsidRPr="00056EDF">
              <w:rPr>
                <w:rFonts w:ascii="Arial" w:hAnsi="Arial" w:cs="Arial"/>
                <w:color w:val="000000"/>
              </w:rPr>
              <w:t> </w:t>
            </w:r>
          </w:p>
        </w:tc>
        <w:tc>
          <w:tcPr>
            <w:tcW w:w="1295" w:type="dxa"/>
            <w:vAlign w:val="center"/>
          </w:tcPr>
          <w:p w14:paraId="465943B6"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0.45%</w:t>
            </w:r>
            <w:r w:rsidRPr="00056EDF">
              <w:rPr>
                <w:rFonts w:ascii="Arial" w:hAnsi="Arial" w:cs="Arial"/>
                <w:color w:val="000000"/>
              </w:rPr>
              <w:t> </w:t>
            </w:r>
          </w:p>
        </w:tc>
        <w:tc>
          <w:tcPr>
            <w:tcW w:w="1295" w:type="dxa"/>
            <w:vAlign w:val="center"/>
          </w:tcPr>
          <w:p w14:paraId="69877C6C"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0.54%</w:t>
            </w:r>
            <w:r w:rsidRPr="00056EDF">
              <w:rPr>
                <w:rFonts w:ascii="Arial" w:hAnsi="Arial" w:cs="Arial"/>
                <w:color w:val="000000"/>
              </w:rPr>
              <w:t> </w:t>
            </w:r>
          </w:p>
        </w:tc>
        <w:tc>
          <w:tcPr>
            <w:tcW w:w="1295" w:type="dxa"/>
            <w:vAlign w:val="center"/>
          </w:tcPr>
          <w:p w14:paraId="0DBD3D3D" w14:textId="77777777" w:rsidR="007200F7" w:rsidRPr="00056EDF" w:rsidRDefault="007200F7" w:rsidP="003007CC">
            <w:pPr>
              <w:jc w:val="center"/>
              <w:textAlignment w:val="baseline"/>
              <w:rPr>
                <w:rFonts w:ascii="Arial" w:hAnsi="Arial" w:cs="Arial"/>
              </w:rPr>
            </w:pPr>
            <w:r w:rsidRPr="00056EDF">
              <w:rPr>
                <w:rFonts w:ascii="Arial" w:hAnsi="Arial" w:cs="Arial"/>
                <w:color w:val="000000"/>
              </w:rPr>
              <w:t>0.44% </w:t>
            </w:r>
          </w:p>
        </w:tc>
        <w:tc>
          <w:tcPr>
            <w:tcW w:w="1295" w:type="dxa"/>
            <w:vAlign w:val="center"/>
          </w:tcPr>
          <w:p w14:paraId="2FE30642" w14:textId="77777777" w:rsidR="007200F7" w:rsidRPr="00056EDF" w:rsidRDefault="007200F7" w:rsidP="003007CC">
            <w:pPr>
              <w:jc w:val="center"/>
              <w:textAlignment w:val="baseline"/>
              <w:rPr>
                <w:rFonts w:ascii="Arial" w:hAnsi="Arial" w:cs="Arial"/>
              </w:rPr>
            </w:pPr>
            <w:r w:rsidRPr="00056EDF">
              <w:rPr>
                <w:rFonts w:ascii="Arial" w:hAnsi="Arial" w:cs="Arial"/>
                <w:color w:val="000000"/>
              </w:rPr>
              <w:t>0.49% </w:t>
            </w:r>
          </w:p>
        </w:tc>
        <w:tc>
          <w:tcPr>
            <w:tcW w:w="1295" w:type="dxa"/>
            <w:vAlign w:val="center"/>
          </w:tcPr>
          <w:p w14:paraId="3373D530" w14:textId="77777777" w:rsidR="007200F7" w:rsidRPr="00056EDF" w:rsidRDefault="007200F7" w:rsidP="003007CC">
            <w:pPr>
              <w:jc w:val="center"/>
              <w:textAlignment w:val="baseline"/>
              <w:rPr>
                <w:rFonts w:ascii="Arial" w:hAnsi="Arial" w:cs="Arial"/>
              </w:rPr>
            </w:pPr>
            <w:r w:rsidRPr="00056EDF">
              <w:rPr>
                <w:rFonts w:ascii="Arial" w:hAnsi="Arial" w:cs="Arial"/>
              </w:rPr>
              <w:t>1.29 </w:t>
            </w:r>
          </w:p>
          <w:p w14:paraId="7DC669A7" w14:textId="77777777" w:rsidR="007200F7" w:rsidRPr="00056EDF" w:rsidRDefault="007200F7" w:rsidP="003007CC">
            <w:pPr>
              <w:jc w:val="center"/>
              <w:textAlignment w:val="baseline"/>
              <w:rPr>
                <w:rFonts w:ascii="Arial" w:hAnsi="Arial" w:cs="Arial"/>
              </w:rPr>
            </w:pPr>
          </w:p>
        </w:tc>
        <w:tc>
          <w:tcPr>
            <w:tcW w:w="1295" w:type="dxa"/>
            <w:vAlign w:val="center"/>
          </w:tcPr>
          <w:p w14:paraId="3FD015FE" w14:textId="77777777" w:rsidR="007200F7" w:rsidRPr="00056EDF" w:rsidRDefault="007200F7" w:rsidP="003007CC">
            <w:pPr>
              <w:jc w:val="center"/>
              <w:textAlignment w:val="baseline"/>
              <w:rPr>
                <w:rFonts w:ascii="Arial" w:hAnsi="Arial" w:cs="Arial"/>
              </w:rPr>
            </w:pPr>
            <w:r w:rsidRPr="00056EDF">
              <w:rPr>
                <w:rFonts w:ascii="Arial" w:hAnsi="Arial" w:cs="Arial"/>
              </w:rPr>
              <w:t>1.19</w:t>
            </w:r>
          </w:p>
          <w:p w14:paraId="2CE88186" w14:textId="77777777" w:rsidR="007200F7" w:rsidRPr="00056EDF" w:rsidRDefault="007200F7" w:rsidP="003007CC">
            <w:pPr>
              <w:jc w:val="center"/>
              <w:textAlignment w:val="baseline"/>
              <w:rPr>
                <w:rFonts w:ascii="Arial" w:hAnsi="Arial" w:cs="Arial"/>
              </w:rPr>
            </w:pPr>
          </w:p>
        </w:tc>
        <w:tc>
          <w:tcPr>
            <w:tcW w:w="1295" w:type="dxa"/>
            <w:vAlign w:val="center"/>
          </w:tcPr>
          <w:p w14:paraId="6EBDB9C2" w14:textId="77777777" w:rsidR="007200F7" w:rsidRPr="00056EDF" w:rsidRDefault="007200F7" w:rsidP="003007CC">
            <w:pPr>
              <w:jc w:val="center"/>
              <w:textAlignment w:val="baseline"/>
              <w:rPr>
                <w:rFonts w:ascii="Arial" w:hAnsi="Arial" w:cs="Arial"/>
              </w:rPr>
            </w:pPr>
            <w:r w:rsidRPr="00056EDF">
              <w:rPr>
                <w:rFonts w:ascii="Arial" w:hAnsi="Arial" w:cs="Arial"/>
              </w:rPr>
              <w:t>1.11</w:t>
            </w:r>
          </w:p>
        </w:tc>
      </w:tr>
      <w:tr w:rsidR="007200F7" w14:paraId="66453DA3" w14:textId="77777777" w:rsidTr="003007CC">
        <w:tc>
          <w:tcPr>
            <w:tcW w:w="1295" w:type="dxa"/>
            <w:vAlign w:val="center"/>
          </w:tcPr>
          <w:p w14:paraId="4225814A" w14:textId="77777777" w:rsidR="007200F7" w:rsidRPr="00056EDF" w:rsidRDefault="007200F7" w:rsidP="003007CC">
            <w:pPr>
              <w:textAlignment w:val="baseline"/>
              <w:rPr>
                <w:rFonts w:ascii="Arial" w:hAnsi="Arial" w:cs="Arial"/>
              </w:rPr>
            </w:pPr>
            <w:r w:rsidRPr="00056EDF">
              <w:rPr>
                <w:rFonts w:ascii="Arial" w:hAnsi="Arial" w:cs="Arial"/>
                <w:color w:val="000000"/>
                <w:shd w:val="clear" w:color="auto" w:fill="FFFFFF"/>
              </w:rPr>
              <w:t>White</w:t>
            </w:r>
            <w:r w:rsidRPr="00056EDF">
              <w:rPr>
                <w:rFonts w:ascii="Arial" w:hAnsi="Arial" w:cs="Arial"/>
                <w:color w:val="000000"/>
              </w:rPr>
              <w:t> </w:t>
            </w:r>
          </w:p>
        </w:tc>
        <w:tc>
          <w:tcPr>
            <w:tcW w:w="1295" w:type="dxa"/>
            <w:vAlign w:val="center"/>
          </w:tcPr>
          <w:p w14:paraId="33DDBD17"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23.19%</w:t>
            </w:r>
            <w:r w:rsidRPr="00056EDF">
              <w:rPr>
                <w:rFonts w:ascii="Arial" w:hAnsi="Arial" w:cs="Arial"/>
                <w:color w:val="000000"/>
              </w:rPr>
              <w:t> </w:t>
            </w:r>
          </w:p>
        </w:tc>
        <w:tc>
          <w:tcPr>
            <w:tcW w:w="1295" w:type="dxa"/>
            <w:vAlign w:val="center"/>
          </w:tcPr>
          <w:p w14:paraId="5CABE096"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16.60%</w:t>
            </w:r>
            <w:r w:rsidRPr="00056EDF">
              <w:rPr>
                <w:rFonts w:ascii="Arial" w:hAnsi="Arial" w:cs="Arial"/>
                <w:color w:val="000000"/>
              </w:rPr>
              <w:t> </w:t>
            </w:r>
          </w:p>
        </w:tc>
        <w:tc>
          <w:tcPr>
            <w:tcW w:w="1295" w:type="dxa"/>
            <w:vAlign w:val="center"/>
          </w:tcPr>
          <w:p w14:paraId="48D3D466"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22.91%</w:t>
            </w:r>
            <w:r w:rsidRPr="00056EDF">
              <w:rPr>
                <w:rFonts w:ascii="Arial" w:hAnsi="Arial" w:cs="Arial"/>
                <w:color w:val="000000"/>
              </w:rPr>
              <w:t> </w:t>
            </w:r>
          </w:p>
        </w:tc>
        <w:tc>
          <w:tcPr>
            <w:tcW w:w="1295" w:type="dxa"/>
            <w:vAlign w:val="center"/>
          </w:tcPr>
          <w:p w14:paraId="01883B34"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15.92%</w:t>
            </w:r>
            <w:r w:rsidRPr="00056EDF">
              <w:rPr>
                <w:rFonts w:ascii="Arial" w:hAnsi="Arial" w:cs="Arial"/>
                <w:color w:val="000000"/>
              </w:rPr>
              <w:t> </w:t>
            </w:r>
          </w:p>
        </w:tc>
        <w:tc>
          <w:tcPr>
            <w:tcW w:w="1295" w:type="dxa"/>
            <w:vAlign w:val="center"/>
          </w:tcPr>
          <w:p w14:paraId="6253EDD0" w14:textId="77777777" w:rsidR="007200F7" w:rsidRPr="00056EDF" w:rsidRDefault="007200F7" w:rsidP="003007CC">
            <w:pPr>
              <w:jc w:val="center"/>
              <w:textAlignment w:val="baseline"/>
              <w:rPr>
                <w:rFonts w:ascii="Arial" w:hAnsi="Arial" w:cs="Arial"/>
              </w:rPr>
            </w:pPr>
            <w:r w:rsidRPr="00056EDF">
              <w:rPr>
                <w:rFonts w:ascii="Arial" w:hAnsi="Arial" w:cs="Arial"/>
                <w:color w:val="000000"/>
              </w:rPr>
              <w:t>22.42% </w:t>
            </w:r>
          </w:p>
        </w:tc>
        <w:tc>
          <w:tcPr>
            <w:tcW w:w="1295" w:type="dxa"/>
            <w:vAlign w:val="center"/>
          </w:tcPr>
          <w:p w14:paraId="48D7400C" w14:textId="77777777" w:rsidR="007200F7" w:rsidRPr="00056EDF" w:rsidRDefault="007200F7" w:rsidP="003007CC">
            <w:pPr>
              <w:jc w:val="center"/>
              <w:textAlignment w:val="baseline"/>
              <w:rPr>
                <w:rFonts w:ascii="Arial" w:hAnsi="Arial" w:cs="Arial"/>
              </w:rPr>
            </w:pPr>
            <w:r w:rsidRPr="00056EDF">
              <w:rPr>
                <w:rFonts w:ascii="Arial" w:hAnsi="Arial" w:cs="Arial"/>
                <w:color w:val="000000"/>
              </w:rPr>
              <w:t>14.69% </w:t>
            </w:r>
          </w:p>
        </w:tc>
        <w:tc>
          <w:tcPr>
            <w:tcW w:w="1295" w:type="dxa"/>
            <w:vAlign w:val="center"/>
          </w:tcPr>
          <w:p w14:paraId="04C0D87E" w14:textId="77777777" w:rsidR="007200F7" w:rsidRPr="00056EDF" w:rsidRDefault="007200F7" w:rsidP="003007CC">
            <w:pPr>
              <w:jc w:val="center"/>
              <w:textAlignment w:val="baseline"/>
              <w:rPr>
                <w:rFonts w:ascii="Arial" w:hAnsi="Arial" w:cs="Arial"/>
              </w:rPr>
            </w:pPr>
            <w:r w:rsidRPr="00056EDF">
              <w:rPr>
                <w:rFonts w:ascii="Arial" w:hAnsi="Arial" w:cs="Arial"/>
              </w:rPr>
              <w:t>0.72 </w:t>
            </w:r>
          </w:p>
        </w:tc>
        <w:tc>
          <w:tcPr>
            <w:tcW w:w="1295" w:type="dxa"/>
            <w:vAlign w:val="center"/>
          </w:tcPr>
          <w:p w14:paraId="753DFBDD" w14:textId="77777777" w:rsidR="007200F7" w:rsidRPr="00056EDF" w:rsidRDefault="007200F7" w:rsidP="003007CC">
            <w:pPr>
              <w:jc w:val="center"/>
              <w:textAlignment w:val="baseline"/>
              <w:rPr>
                <w:rFonts w:ascii="Arial" w:hAnsi="Arial" w:cs="Arial"/>
              </w:rPr>
            </w:pPr>
            <w:r w:rsidRPr="00056EDF">
              <w:rPr>
                <w:rFonts w:ascii="Arial" w:hAnsi="Arial" w:cs="Arial"/>
              </w:rPr>
              <w:t>0.69 </w:t>
            </w:r>
          </w:p>
        </w:tc>
        <w:tc>
          <w:tcPr>
            <w:tcW w:w="1295" w:type="dxa"/>
            <w:vAlign w:val="center"/>
          </w:tcPr>
          <w:p w14:paraId="65F43FEC" w14:textId="77777777" w:rsidR="007200F7" w:rsidRPr="00056EDF" w:rsidRDefault="007200F7" w:rsidP="003007CC">
            <w:pPr>
              <w:jc w:val="center"/>
              <w:textAlignment w:val="baseline"/>
              <w:rPr>
                <w:rFonts w:ascii="Arial" w:hAnsi="Arial" w:cs="Arial"/>
              </w:rPr>
            </w:pPr>
            <w:r w:rsidRPr="00056EDF">
              <w:rPr>
                <w:rFonts w:ascii="Arial" w:hAnsi="Arial" w:cs="Arial"/>
                <w:color w:val="000000"/>
              </w:rPr>
              <w:t>0.66 </w:t>
            </w:r>
          </w:p>
        </w:tc>
      </w:tr>
      <w:tr w:rsidR="007200F7" w14:paraId="78D791E3" w14:textId="77777777" w:rsidTr="003007CC">
        <w:tc>
          <w:tcPr>
            <w:tcW w:w="1295" w:type="dxa"/>
            <w:vAlign w:val="center"/>
          </w:tcPr>
          <w:p w14:paraId="095A8E8E" w14:textId="77777777" w:rsidR="007200F7" w:rsidRPr="00056EDF" w:rsidRDefault="007200F7" w:rsidP="003007CC">
            <w:pPr>
              <w:textAlignment w:val="baseline"/>
              <w:rPr>
                <w:rFonts w:ascii="Arial" w:hAnsi="Arial" w:cs="Arial"/>
              </w:rPr>
            </w:pPr>
            <w:r w:rsidRPr="00056EDF">
              <w:rPr>
                <w:rFonts w:ascii="Arial" w:hAnsi="Arial" w:cs="Arial"/>
                <w:color w:val="000000"/>
                <w:shd w:val="clear" w:color="auto" w:fill="FFFFFF"/>
              </w:rPr>
              <w:t>Total</w:t>
            </w:r>
            <w:r w:rsidRPr="00056EDF">
              <w:rPr>
                <w:rFonts w:ascii="Arial" w:hAnsi="Arial" w:cs="Arial"/>
                <w:color w:val="000000"/>
              </w:rPr>
              <w:t> </w:t>
            </w:r>
          </w:p>
        </w:tc>
        <w:tc>
          <w:tcPr>
            <w:tcW w:w="1295" w:type="dxa"/>
            <w:vAlign w:val="center"/>
          </w:tcPr>
          <w:p w14:paraId="721B861F"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100%</w:t>
            </w:r>
            <w:r w:rsidRPr="00056EDF">
              <w:rPr>
                <w:rFonts w:ascii="Arial" w:hAnsi="Arial" w:cs="Arial"/>
                <w:color w:val="000000"/>
              </w:rPr>
              <w:t> </w:t>
            </w:r>
          </w:p>
        </w:tc>
        <w:tc>
          <w:tcPr>
            <w:tcW w:w="1295" w:type="dxa"/>
            <w:vAlign w:val="center"/>
          </w:tcPr>
          <w:p w14:paraId="24F5375E" w14:textId="77777777" w:rsidR="007200F7" w:rsidRPr="00056EDF" w:rsidRDefault="007200F7" w:rsidP="003007CC">
            <w:pPr>
              <w:jc w:val="center"/>
              <w:textAlignment w:val="baseline"/>
              <w:rPr>
                <w:rFonts w:ascii="Arial" w:hAnsi="Arial" w:cs="Arial"/>
              </w:rPr>
            </w:pPr>
            <w:r w:rsidRPr="00056EDF">
              <w:rPr>
                <w:rFonts w:ascii="Arial" w:hAnsi="Arial" w:cs="Arial"/>
                <w:color w:val="000000"/>
                <w:shd w:val="clear" w:color="auto" w:fill="FFFFFF"/>
              </w:rPr>
              <w:t>100%</w:t>
            </w:r>
            <w:r w:rsidRPr="00056EDF">
              <w:rPr>
                <w:rFonts w:ascii="Arial" w:hAnsi="Arial" w:cs="Arial"/>
                <w:color w:val="000000"/>
              </w:rPr>
              <w:t> </w:t>
            </w:r>
          </w:p>
        </w:tc>
        <w:tc>
          <w:tcPr>
            <w:tcW w:w="1295" w:type="dxa"/>
            <w:vAlign w:val="center"/>
          </w:tcPr>
          <w:p w14:paraId="6E59DE66" w14:textId="77777777" w:rsidR="007200F7" w:rsidRPr="00056EDF" w:rsidRDefault="007200F7" w:rsidP="003007CC">
            <w:pPr>
              <w:jc w:val="center"/>
              <w:textAlignment w:val="baseline"/>
              <w:rPr>
                <w:rFonts w:ascii="Arial" w:hAnsi="Arial" w:cs="Arial"/>
              </w:rPr>
            </w:pPr>
            <w:r w:rsidRPr="00056EDF">
              <w:rPr>
                <w:rFonts w:ascii="Arial" w:hAnsi="Arial" w:cs="Arial"/>
              </w:rPr>
              <w:t>100% </w:t>
            </w:r>
          </w:p>
        </w:tc>
        <w:tc>
          <w:tcPr>
            <w:tcW w:w="1295" w:type="dxa"/>
            <w:vAlign w:val="center"/>
          </w:tcPr>
          <w:p w14:paraId="08B5D350" w14:textId="77777777" w:rsidR="007200F7" w:rsidRPr="00056EDF" w:rsidRDefault="007200F7" w:rsidP="003007CC">
            <w:pPr>
              <w:jc w:val="center"/>
              <w:textAlignment w:val="baseline"/>
              <w:rPr>
                <w:rFonts w:ascii="Arial" w:hAnsi="Arial" w:cs="Arial"/>
              </w:rPr>
            </w:pPr>
            <w:r w:rsidRPr="00056EDF">
              <w:rPr>
                <w:rFonts w:ascii="Arial" w:hAnsi="Arial" w:cs="Arial"/>
              </w:rPr>
              <w:t>100% </w:t>
            </w:r>
          </w:p>
        </w:tc>
        <w:tc>
          <w:tcPr>
            <w:tcW w:w="1295" w:type="dxa"/>
            <w:vAlign w:val="center"/>
          </w:tcPr>
          <w:p w14:paraId="42785909" w14:textId="77777777" w:rsidR="007200F7" w:rsidRPr="00056EDF" w:rsidRDefault="007200F7" w:rsidP="003007CC">
            <w:pPr>
              <w:jc w:val="center"/>
              <w:textAlignment w:val="baseline"/>
              <w:rPr>
                <w:rFonts w:ascii="Arial" w:hAnsi="Arial" w:cs="Arial"/>
              </w:rPr>
            </w:pPr>
            <w:r w:rsidRPr="00056EDF">
              <w:rPr>
                <w:rFonts w:ascii="Arial" w:hAnsi="Arial" w:cs="Arial"/>
              </w:rPr>
              <w:t>100% </w:t>
            </w:r>
          </w:p>
        </w:tc>
        <w:tc>
          <w:tcPr>
            <w:tcW w:w="1295" w:type="dxa"/>
            <w:vAlign w:val="center"/>
          </w:tcPr>
          <w:p w14:paraId="1DFC9838" w14:textId="77777777" w:rsidR="007200F7" w:rsidRPr="00056EDF" w:rsidRDefault="007200F7" w:rsidP="003007CC">
            <w:pPr>
              <w:jc w:val="center"/>
              <w:textAlignment w:val="baseline"/>
              <w:rPr>
                <w:rFonts w:ascii="Arial" w:hAnsi="Arial" w:cs="Arial"/>
              </w:rPr>
            </w:pPr>
            <w:r w:rsidRPr="00056EDF">
              <w:rPr>
                <w:rFonts w:ascii="Arial" w:hAnsi="Arial" w:cs="Arial"/>
              </w:rPr>
              <w:t>100% </w:t>
            </w:r>
          </w:p>
        </w:tc>
        <w:tc>
          <w:tcPr>
            <w:tcW w:w="1295" w:type="dxa"/>
            <w:vAlign w:val="center"/>
          </w:tcPr>
          <w:p w14:paraId="7E687009" w14:textId="77777777" w:rsidR="007200F7" w:rsidRPr="00056EDF" w:rsidRDefault="007200F7" w:rsidP="003007CC">
            <w:pPr>
              <w:jc w:val="center"/>
              <w:textAlignment w:val="baseline"/>
              <w:rPr>
                <w:rFonts w:ascii="Arial" w:hAnsi="Arial" w:cs="Arial"/>
              </w:rPr>
            </w:pPr>
            <w:r>
              <w:rPr>
                <w:rFonts w:ascii="Arial" w:hAnsi="Arial" w:cs="Arial"/>
              </w:rPr>
              <w:t>NA</w:t>
            </w:r>
          </w:p>
        </w:tc>
        <w:tc>
          <w:tcPr>
            <w:tcW w:w="1295" w:type="dxa"/>
            <w:vAlign w:val="center"/>
          </w:tcPr>
          <w:p w14:paraId="079F055B" w14:textId="77777777" w:rsidR="007200F7" w:rsidRPr="00056EDF" w:rsidRDefault="007200F7" w:rsidP="003007CC">
            <w:pPr>
              <w:jc w:val="center"/>
              <w:textAlignment w:val="baseline"/>
              <w:rPr>
                <w:rFonts w:ascii="Arial" w:hAnsi="Arial" w:cs="Arial"/>
              </w:rPr>
            </w:pPr>
            <w:r>
              <w:rPr>
                <w:rFonts w:ascii="Arial" w:hAnsi="Arial" w:cs="Arial"/>
              </w:rPr>
              <w:t>NA</w:t>
            </w:r>
          </w:p>
        </w:tc>
        <w:tc>
          <w:tcPr>
            <w:tcW w:w="1295" w:type="dxa"/>
            <w:vAlign w:val="center"/>
          </w:tcPr>
          <w:p w14:paraId="7A9D1FBD" w14:textId="77777777" w:rsidR="007200F7" w:rsidRPr="00056EDF" w:rsidRDefault="007200F7" w:rsidP="003007CC">
            <w:pPr>
              <w:jc w:val="center"/>
              <w:textAlignment w:val="baseline"/>
              <w:rPr>
                <w:rFonts w:ascii="Arial" w:hAnsi="Arial" w:cs="Arial"/>
              </w:rPr>
            </w:pPr>
            <w:r>
              <w:rPr>
                <w:rFonts w:ascii="Arial" w:hAnsi="Arial" w:cs="Arial"/>
              </w:rPr>
              <w:t>NA</w:t>
            </w:r>
          </w:p>
        </w:tc>
      </w:tr>
    </w:tbl>
    <w:p w14:paraId="6B699379" w14:textId="77777777" w:rsidR="00B47306" w:rsidRDefault="00B47306" w:rsidP="00B47306">
      <w:pPr>
        <w:rPr>
          <w:rFonts w:eastAsia="Arial" w:cs="Arial"/>
          <w:color w:val="000000" w:themeColor="text1"/>
        </w:rPr>
      </w:pPr>
    </w:p>
    <w:p w14:paraId="656EA9D6" w14:textId="77777777" w:rsidR="00B47306" w:rsidRPr="001545A2" w:rsidRDefault="00B47306" w:rsidP="00B47306">
      <w:pPr>
        <w:pStyle w:val="Heading5"/>
        <w:rPr>
          <w:rFonts w:ascii="Arial" w:hAnsi="Arial" w:cs="Arial"/>
          <w:b/>
          <w:color w:val="000000" w:themeColor="text1"/>
        </w:rPr>
      </w:pPr>
      <w:r w:rsidRPr="001545A2">
        <w:rPr>
          <w:rFonts w:ascii="Arial" w:eastAsia="Helvetica" w:hAnsi="Arial" w:cs="Arial"/>
          <w:b/>
          <w:color w:val="000000" w:themeColor="text1"/>
        </w:rPr>
        <w:t xml:space="preserve">Summary of Disproportionality of Race/Ethnicity in </w:t>
      </w:r>
      <w:r w:rsidRPr="001545A2">
        <w:rPr>
          <w:rFonts w:ascii="Arial" w:hAnsi="Arial" w:cs="Arial"/>
          <w:b/>
          <w:color w:val="000000" w:themeColor="text1"/>
        </w:rPr>
        <w:t>2017–18, 2018</w:t>
      </w:r>
      <w:r w:rsidRPr="001545A2">
        <w:rPr>
          <w:rFonts w:ascii="Arial" w:hAnsi="Arial" w:cs="Arial"/>
          <w:b/>
          <w:bCs/>
          <w:color w:val="000000" w:themeColor="text1"/>
          <w:szCs w:val="22"/>
        </w:rPr>
        <w:t>–</w:t>
      </w:r>
      <w:r w:rsidRPr="001545A2">
        <w:rPr>
          <w:rFonts w:ascii="Arial" w:hAnsi="Arial" w:cs="Arial"/>
          <w:b/>
          <w:color w:val="000000" w:themeColor="text1"/>
        </w:rPr>
        <w:t>19, and 2019–20</w:t>
      </w:r>
    </w:p>
    <w:p w14:paraId="3FE9F23F" w14:textId="77777777" w:rsidR="00B47306" w:rsidRDefault="00B47306" w:rsidP="00B47306">
      <w:pPr>
        <w:rPr>
          <w:rFonts w:eastAsia="Helvetica"/>
        </w:rPr>
      </w:pPr>
    </w:p>
    <w:p w14:paraId="58FA312F" w14:textId="05478CFF" w:rsidR="00B47306" w:rsidRPr="00EC5836" w:rsidRDefault="00B47306" w:rsidP="00B47306">
      <w:pPr>
        <w:rPr>
          <w:rFonts w:ascii="Arial" w:eastAsia="Helvetica" w:hAnsi="Arial" w:cs="Arial"/>
        </w:rPr>
      </w:pPr>
      <w:r w:rsidRPr="00EC5836">
        <w:rPr>
          <w:rFonts w:ascii="Arial" w:eastAsia="Helvetica" w:hAnsi="Arial" w:cs="Arial"/>
        </w:rPr>
        <w:t xml:space="preserve">Table 4 indicates that trends in disproportionality from 2017–18 continued into 2019–20 for all racial and ethnic student groups (although the </w:t>
      </w:r>
      <w:r w:rsidR="008F2004">
        <w:rPr>
          <w:rFonts w:ascii="Arial" w:hAnsi="Arial" w:cs="Arial"/>
        </w:rPr>
        <w:t>Disproportionality Index</w:t>
      </w:r>
      <w:r w:rsidRPr="00EC5836">
        <w:rPr>
          <w:rFonts w:ascii="Arial" w:eastAsia="Helvetica" w:hAnsi="Arial" w:cs="Arial"/>
        </w:rPr>
        <w:t xml:space="preserve"> declined slightly for most groups in the last year). Across all three years the transfer student population has:</w:t>
      </w:r>
    </w:p>
    <w:p w14:paraId="1F72F646" w14:textId="77777777" w:rsidR="00B47306" w:rsidRDefault="00B47306" w:rsidP="00B47306">
      <w:pPr>
        <w:rPr>
          <w:rFonts w:eastAsia="Helvetica"/>
        </w:rPr>
      </w:pPr>
    </w:p>
    <w:p w14:paraId="6271C529" w14:textId="77777777" w:rsidR="00B47306" w:rsidRDefault="00B47306" w:rsidP="00B47306">
      <w:pPr>
        <w:pStyle w:val="ListParagraph"/>
        <w:numPr>
          <w:ilvl w:val="0"/>
          <w:numId w:val="23"/>
        </w:numPr>
        <w:rPr>
          <w:rFonts w:ascii="Arial" w:eastAsia="Helvetica" w:hAnsi="Arial" w:cs="Arial"/>
          <w:sz w:val="24"/>
          <w:szCs w:val="24"/>
        </w:rPr>
      </w:pPr>
      <w:r w:rsidRPr="00336767">
        <w:rPr>
          <w:rFonts w:ascii="Arial" w:eastAsia="Helvetica" w:hAnsi="Arial" w:cs="Arial"/>
          <w:sz w:val="24"/>
          <w:szCs w:val="24"/>
        </w:rPr>
        <w:t>A disproportionally higher percent</w:t>
      </w:r>
      <w:r>
        <w:rPr>
          <w:rFonts w:ascii="Arial" w:eastAsia="Helvetica" w:hAnsi="Arial" w:cs="Arial"/>
          <w:sz w:val="24"/>
          <w:szCs w:val="24"/>
        </w:rPr>
        <w:t>age of transfers among African Americans, American Indians/</w:t>
      </w:r>
      <w:r w:rsidRPr="00336767">
        <w:rPr>
          <w:rFonts w:ascii="Arial" w:eastAsia="Helvetica" w:hAnsi="Arial" w:cs="Arial"/>
          <w:sz w:val="24"/>
          <w:szCs w:val="24"/>
        </w:rPr>
        <w:t>Alaska Native</w:t>
      </w:r>
      <w:r>
        <w:rPr>
          <w:rFonts w:ascii="Arial" w:eastAsia="Helvetica" w:hAnsi="Arial" w:cs="Arial"/>
          <w:sz w:val="24"/>
          <w:szCs w:val="24"/>
        </w:rPr>
        <w:t>s</w:t>
      </w:r>
      <w:r w:rsidRPr="00336767">
        <w:rPr>
          <w:rFonts w:ascii="Arial" w:eastAsia="Helvetica" w:hAnsi="Arial" w:cs="Arial"/>
          <w:sz w:val="24"/>
          <w:szCs w:val="24"/>
        </w:rPr>
        <w:t>,</w:t>
      </w:r>
      <w:r>
        <w:rPr>
          <w:rFonts w:ascii="Arial" w:eastAsia="Helvetica" w:hAnsi="Arial" w:cs="Arial"/>
          <w:sz w:val="24"/>
          <w:szCs w:val="24"/>
        </w:rPr>
        <w:t xml:space="preserve"> Hispanics/Latinos, and Native Hawaiians/Pacific Islanders,</w:t>
      </w:r>
      <w:r w:rsidRPr="00336767">
        <w:rPr>
          <w:rFonts w:ascii="Arial" w:eastAsia="Helvetica" w:hAnsi="Arial" w:cs="Arial"/>
          <w:sz w:val="24"/>
          <w:szCs w:val="24"/>
        </w:rPr>
        <w:t xml:space="preserve"> when compared to statewide percentages.</w:t>
      </w:r>
    </w:p>
    <w:p w14:paraId="08CE6F91" w14:textId="77777777" w:rsidR="00B47306" w:rsidRPr="005E38AE" w:rsidRDefault="00B47306" w:rsidP="00B47306">
      <w:pPr>
        <w:pStyle w:val="ListParagraph"/>
        <w:rPr>
          <w:rFonts w:ascii="Arial" w:eastAsia="Helvetica" w:hAnsi="Arial" w:cs="Arial"/>
          <w:sz w:val="24"/>
          <w:szCs w:val="24"/>
        </w:rPr>
      </w:pPr>
    </w:p>
    <w:p w14:paraId="27414EFD" w14:textId="77777777" w:rsidR="00B47306" w:rsidRPr="005E38AE" w:rsidRDefault="00B47306" w:rsidP="00B47306">
      <w:pPr>
        <w:pStyle w:val="ListParagraph"/>
        <w:numPr>
          <w:ilvl w:val="0"/>
          <w:numId w:val="23"/>
        </w:numPr>
        <w:rPr>
          <w:rFonts w:ascii="Arial" w:eastAsia="Helvetica" w:hAnsi="Arial" w:cs="Arial"/>
          <w:sz w:val="24"/>
          <w:szCs w:val="24"/>
        </w:rPr>
      </w:pPr>
      <w:r w:rsidRPr="00336767">
        <w:rPr>
          <w:rFonts w:ascii="Arial" w:eastAsia="Helvetica" w:hAnsi="Arial" w:cs="Arial"/>
          <w:sz w:val="24"/>
          <w:szCs w:val="24"/>
        </w:rPr>
        <w:t>A disproportionall</w:t>
      </w:r>
      <w:r>
        <w:rPr>
          <w:rFonts w:ascii="Arial" w:eastAsia="Helvetica" w:hAnsi="Arial" w:cs="Arial"/>
          <w:sz w:val="24"/>
          <w:szCs w:val="24"/>
        </w:rPr>
        <w:t xml:space="preserve">y lower percentage of transfers among Asians, </w:t>
      </w:r>
      <w:r w:rsidRPr="00336767">
        <w:rPr>
          <w:rFonts w:ascii="Arial" w:eastAsia="Helvetica" w:hAnsi="Arial" w:cs="Arial"/>
          <w:sz w:val="24"/>
          <w:szCs w:val="24"/>
        </w:rPr>
        <w:t>Filipino</w:t>
      </w:r>
      <w:r>
        <w:rPr>
          <w:rFonts w:ascii="Arial" w:eastAsia="Helvetica" w:hAnsi="Arial" w:cs="Arial"/>
          <w:sz w:val="24"/>
          <w:szCs w:val="24"/>
        </w:rPr>
        <w:t>, and White</w:t>
      </w:r>
      <w:r w:rsidRPr="00336767">
        <w:rPr>
          <w:rFonts w:ascii="Arial" w:eastAsia="Helvetica" w:hAnsi="Arial" w:cs="Arial"/>
          <w:sz w:val="24"/>
          <w:szCs w:val="24"/>
        </w:rPr>
        <w:t xml:space="preserve"> students</w:t>
      </w:r>
      <w:r>
        <w:rPr>
          <w:rFonts w:ascii="Arial" w:eastAsia="Helvetica" w:hAnsi="Arial" w:cs="Arial"/>
          <w:sz w:val="24"/>
          <w:szCs w:val="24"/>
        </w:rPr>
        <w:t>, as well as students who are Two or More Races.</w:t>
      </w:r>
    </w:p>
    <w:p w14:paraId="6BB9E253" w14:textId="77777777" w:rsidR="00B47306" w:rsidRDefault="00B47306" w:rsidP="00B47306">
      <w:pPr>
        <w:pStyle w:val="Heading5"/>
        <w:rPr>
          <w:rFonts w:ascii="Arial" w:hAnsi="Arial" w:cs="Arial"/>
          <w:b/>
          <w:color w:val="000000" w:themeColor="text1"/>
          <w:shd w:val="clear" w:color="auto" w:fill="FFFFFF"/>
        </w:rPr>
      </w:pPr>
    </w:p>
    <w:p w14:paraId="01468E69" w14:textId="77777777" w:rsidR="00B47306" w:rsidRPr="00FC5101" w:rsidRDefault="00B47306" w:rsidP="00B47306">
      <w:pPr>
        <w:pStyle w:val="Heading5"/>
        <w:rPr>
          <w:rFonts w:ascii="Arial" w:hAnsi="Arial" w:cs="Arial"/>
          <w:b/>
          <w:color w:val="000000" w:themeColor="text1"/>
        </w:rPr>
      </w:pPr>
      <w:r>
        <w:rPr>
          <w:rFonts w:ascii="Arial" w:hAnsi="Arial" w:cs="Arial"/>
          <w:b/>
          <w:color w:val="000000" w:themeColor="text1"/>
        </w:rPr>
        <w:t xml:space="preserve">Program </w:t>
      </w:r>
      <w:r w:rsidRPr="00FC5101">
        <w:rPr>
          <w:rFonts w:ascii="Arial" w:hAnsi="Arial" w:cs="Arial"/>
          <w:b/>
          <w:color w:val="000000" w:themeColor="text1"/>
        </w:rPr>
        <w:t>Composition in Transfer Group Compared to Statewide Student Enrollment Population</w:t>
      </w:r>
    </w:p>
    <w:p w14:paraId="4EB5F424" w14:textId="3243069E" w:rsidR="00B47306" w:rsidRPr="00E705B2" w:rsidRDefault="00B47306" w:rsidP="00B47306">
      <w:pPr>
        <w:spacing w:before="240" w:after="240"/>
        <w:rPr>
          <w:rFonts w:ascii="Arial" w:hAnsi="Arial" w:cs="Arial"/>
        </w:rPr>
      </w:pPr>
      <w:r>
        <w:rPr>
          <w:rFonts w:ascii="Arial" w:hAnsi="Arial" w:cs="Arial"/>
        </w:rPr>
        <w:t>T</w:t>
      </w:r>
      <w:r w:rsidRPr="00E705B2">
        <w:rPr>
          <w:rFonts w:ascii="Arial" w:hAnsi="Arial" w:cs="Arial"/>
        </w:rPr>
        <w:t xml:space="preserve">he </w:t>
      </w:r>
      <w:r w:rsidR="009C500C">
        <w:rPr>
          <w:rFonts w:ascii="Arial" w:hAnsi="Arial" w:cs="Arial"/>
        </w:rPr>
        <w:t>Disproportionality Index</w:t>
      </w:r>
      <w:r w:rsidRPr="00E705B2">
        <w:rPr>
          <w:rFonts w:ascii="Arial" w:hAnsi="Arial" w:cs="Arial"/>
        </w:rPr>
        <w:t xml:space="preserve"> for </w:t>
      </w:r>
      <w:r>
        <w:rPr>
          <w:rFonts w:ascii="Arial" w:hAnsi="Arial" w:cs="Arial"/>
        </w:rPr>
        <w:t xml:space="preserve">program </w:t>
      </w:r>
      <w:r w:rsidRPr="00E705B2">
        <w:rPr>
          <w:rFonts w:ascii="Arial" w:hAnsi="Arial" w:cs="Arial"/>
        </w:rPr>
        <w:t>student groups would be calculated as follows:</w:t>
      </w:r>
    </w:p>
    <w:p w14:paraId="239040F7" w14:textId="77777777" w:rsidR="00B47306" w:rsidRPr="00546362" w:rsidRDefault="00B47306" w:rsidP="00B47306">
      <w:pPr>
        <w:spacing w:before="240"/>
      </w:pPr>
      <m:oMathPara>
        <m:oMath>
          <m:r>
            <m:rPr>
              <m:nor/>
            </m:rPr>
            <m:t>D</m:t>
          </m:r>
          <m:r>
            <m:rPr>
              <m:nor/>
            </m:rPr>
            <w:rPr>
              <w:rFonts w:ascii="Cambria Math"/>
            </w:rPr>
            <m:t xml:space="preserve">I </m:t>
          </m:r>
          <m:r>
            <m:rPr>
              <m:nor/>
            </m:rPr>
            <m:t>=</m:t>
          </m:r>
          <m:r>
            <m:rPr>
              <m:nor/>
            </m:rPr>
            <w:rPr>
              <w:rFonts w:ascii="Cambria Math"/>
            </w:rPr>
            <m:t xml:space="preserve"> </m:t>
          </m:r>
          <m:f>
            <m:fPr>
              <m:ctrlPr>
                <w:rPr>
                  <w:rFonts w:ascii="Cambria Math" w:hAnsi="Cambria Math"/>
                </w:rPr>
              </m:ctrlPr>
            </m:fPr>
            <m:num>
              <m:r>
                <m:rPr>
                  <m:nor/>
                </m:rPr>
                <m:t>Number of Transfer Students in Program Group</m:t>
              </m:r>
              <m:r>
                <m:rPr>
                  <m:nor/>
                </m:rPr>
                <w:rPr>
                  <w:rFonts w:ascii="Cambria Math"/>
                </w:rPr>
                <m:t xml:space="preserve"> </m:t>
              </m:r>
              <m:r>
                <m:rPr>
                  <m:nor/>
                </m:rPr>
                <m:t>÷</m:t>
              </m:r>
              <m:r>
                <m:rPr>
                  <m:nor/>
                </m:rPr>
                <w:rPr>
                  <w:rFonts w:ascii="Cambria Math"/>
                </w:rPr>
                <m:t xml:space="preserve"> </m:t>
              </m:r>
              <m:r>
                <m:rPr>
                  <m:nor/>
                </m:rPr>
                <m:t>Total Transfer Population</m:t>
              </m:r>
            </m:num>
            <m:den>
              <m:r>
                <m:rPr>
                  <m:nor/>
                </m:rPr>
                <m:t>Number of Students in Program in Student Population ÷</m:t>
              </m:r>
              <m:r>
                <m:rPr>
                  <m:nor/>
                </m:rPr>
                <w:rPr>
                  <w:rFonts w:ascii="Cambria Math"/>
                </w:rPr>
                <m:t xml:space="preserve"> </m:t>
              </m:r>
              <m:r>
                <m:rPr>
                  <m:nor/>
                </m:rPr>
                <m:t>Total Student Population</m:t>
              </m:r>
            </m:den>
          </m:f>
        </m:oMath>
      </m:oMathPara>
    </w:p>
    <w:p w14:paraId="23DE523C" w14:textId="77777777" w:rsidR="00B47306" w:rsidRDefault="00B47306" w:rsidP="00B47306">
      <w:pPr>
        <w:pStyle w:val="Heading5"/>
        <w:rPr>
          <w:rFonts w:ascii="Arial" w:hAnsi="Arial" w:cs="Arial"/>
          <w:b/>
          <w:color w:val="000000" w:themeColor="text1"/>
          <w:shd w:val="clear" w:color="auto" w:fill="FFFFFF"/>
        </w:rPr>
      </w:pPr>
    </w:p>
    <w:p w14:paraId="0BDAE212" w14:textId="77777777" w:rsidR="00B47306" w:rsidRPr="001545A2" w:rsidRDefault="00B47306" w:rsidP="00B47306">
      <w:pPr>
        <w:pStyle w:val="Heading5"/>
        <w:rPr>
          <w:rFonts w:ascii="Arial" w:eastAsia="Times New Roman" w:hAnsi="Arial" w:cs="Arial"/>
          <w:b/>
          <w:color w:val="000000" w:themeColor="text1"/>
        </w:rPr>
      </w:pPr>
      <w:r w:rsidRPr="001545A2">
        <w:rPr>
          <w:rFonts w:ascii="Arial" w:hAnsi="Arial" w:cs="Arial"/>
          <w:b/>
          <w:color w:val="000000" w:themeColor="text1"/>
          <w:shd w:val="clear" w:color="auto" w:fill="FFFFFF"/>
        </w:rPr>
        <w:t xml:space="preserve">Table 5. Disproportionality of Program Student Groups </w:t>
      </w:r>
      <w:r>
        <w:rPr>
          <w:rFonts w:ascii="Arial" w:hAnsi="Arial" w:cs="Arial"/>
          <w:b/>
          <w:color w:val="000000" w:themeColor="text1"/>
          <w:shd w:val="clear" w:color="auto" w:fill="FFFFFF"/>
        </w:rPr>
        <w:t xml:space="preserve">in </w:t>
      </w:r>
      <w:r w:rsidRPr="001545A2">
        <w:rPr>
          <w:rFonts w:ascii="Arial" w:hAnsi="Arial" w:cs="Arial"/>
          <w:b/>
          <w:color w:val="000000" w:themeColor="text1"/>
        </w:rPr>
        <w:t>2017–18, 2018</w:t>
      </w:r>
      <w:r w:rsidRPr="001545A2">
        <w:rPr>
          <w:rFonts w:ascii="Arial" w:hAnsi="Arial" w:cs="Arial"/>
          <w:b/>
          <w:bCs/>
          <w:color w:val="000000" w:themeColor="text1"/>
          <w:szCs w:val="22"/>
        </w:rPr>
        <w:t>–</w:t>
      </w:r>
      <w:r w:rsidRPr="001545A2">
        <w:rPr>
          <w:rFonts w:ascii="Arial" w:hAnsi="Arial" w:cs="Arial"/>
          <w:b/>
          <w:color w:val="000000" w:themeColor="text1"/>
        </w:rPr>
        <w:t>19, and 2019–20</w:t>
      </w:r>
    </w:p>
    <w:p w14:paraId="52E56223" w14:textId="77777777" w:rsidR="00B47306" w:rsidRDefault="00B47306" w:rsidP="00B47306">
      <w:pPr>
        <w:rPr>
          <w:rFonts w:eastAsia="Arial" w:cs="Arial"/>
          <w:color w:val="000000" w:themeColor="text1"/>
        </w:rPr>
      </w:pPr>
    </w:p>
    <w:tbl>
      <w:tblPr>
        <w:tblStyle w:val="TableGrid"/>
        <w:tblW w:w="0" w:type="auto"/>
        <w:tblLook w:val="04A0" w:firstRow="1" w:lastRow="0" w:firstColumn="1" w:lastColumn="0" w:noHBand="0" w:noVBand="1"/>
      </w:tblPr>
      <w:tblGrid>
        <w:gridCol w:w="1746"/>
        <w:gridCol w:w="1265"/>
        <w:gridCol w:w="1252"/>
        <w:gridCol w:w="1252"/>
        <w:gridCol w:w="1366"/>
        <w:gridCol w:w="1252"/>
        <w:gridCol w:w="1245"/>
        <w:gridCol w:w="1231"/>
        <w:gridCol w:w="1231"/>
        <w:gridCol w:w="1224"/>
      </w:tblGrid>
      <w:tr w:rsidR="007200F7" w14:paraId="323A7485" w14:textId="77777777" w:rsidTr="007200F7">
        <w:tc>
          <w:tcPr>
            <w:tcW w:w="1746" w:type="dxa"/>
            <w:shd w:val="clear" w:color="auto" w:fill="D9D9D9" w:themeFill="background1" w:themeFillShade="D9"/>
            <w:vAlign w:val="center"/>
          </w:tcPr>
          <w:p w14:paraId="09E1A57C" w14:textId="77777777" w:rsidR="007200F7" w:rsidRPr="005D112D" w:rsidRDefault="007200F7" w:rsidP="003007CC">
            <w:pPr>
              <w:jc w:val="center"/>
              <w:textAlignment w:val="baseline"/>
              <w:rPr>
                <w:rFonts w:ascii="Arial" w:hAnsi="Arial" w:cs="Arial"/>
                <w:sz w:val="18"/>
                <w:szCs w:val="18"/>
              </w:rPr>
            </w:pPr>
            <w:r w:rsidRPr="005D112D">
              <w:rPr>
                <w:rFonts w:ascii="Arial" w:hAnsi="Arial" w:cs="Arial"/>
              </w:rPr>
              <w:t> </w:t>
            </w:r>
          </w:p>
          <w:p w14:paraId="30964656" w14:textId="77777777" w:rsidR="007200F7" w:rsidRPr="005D112D" w:rsidRDefault="007200F7" w:rsidP="003007CC">
            <w:pPr>
              <w:jc w:val="center"/>
              <w:textAlignment w:val="baseline"/>
              <w:rPr>
                <w:rFonts w:ascii="Arial" w:hAnsi="Arial" w:cs="Arial"/>
                <w:sz w:val="18"/>
                <w:szCs w:val="18"/>
              </w:rPr>
            </w:pPr>
            <w:r w:rsidRPr="005D112D">
              <w:rPr>
                <w:rFonts w:ascii="Arial" w:hAnsi="Arial" w:cs="Arial"/>
                <w:b/>
                <w:bCs/>
              </w:rPr>
              <w:t>Program Student Group</w:t>
            </w:r>
            <w:r w:rsidRPr="005D112D">
              <w:rPr>
                <w:rFonts w:ascii="Arial" w:hAnsi="Arial" w:cs="Arial"/>
              </w:rPr>
              <w:t> </w:t>
            </w:r>
          </w:p>
        </w:tc>
        <w:tc>
          <w:tcPr>
            <w:tcW w:w="1265" w:type="dxa"/>
            <w:shd w:val="clear" w:color="auto" w:fill="D9D9D9" w:themeFill="background1" w:themeFillShade="D9"/>
            <w:vAlign w:val="center"/>
          </w:tcPr>
          <w:p w14:paraId="1015253D" w14:textId="77777777" w:rsidR="007200F7" w:rsidRPr="005D112D" w:rsidRDefault="007200F7" w:rsidP="003007CC">
            <w:pPr>
              <w:jc w:val="center"/>
              <w:textAlignment w:val="baseline"/>
              <w:rPr>
                <w:rFonts w:ascii="Arial" w:hAnsi="Arial" w:cs="Arial"/>
                <w:sz w:val="18"/>
                <w:szCs w:val="18"/>
              </w:rPr>
            </w:pPr>
            <w:r w:rsidRPr="005D112D">
              <w:rPr>
                <w:rFonts w:ascii="Arial" w:hAnsi="Arial" w:cs="Arial"/>
                <w:b/>
                <w:bCs/>
              </w:rPr>
              <w:t>Statewide % Enrolled in 2017–18</w:t>
            </w:r>
            <w:r w:rsidRPr="005D112D">
              <w:rPr>
                <w:rFonts w:ascii="Arial" w:hAnsi="Arial" w:cs="Arial"/>
              </w:rPr>
              <w:t> </w:t>
            </w:r>
          </w:p>
        </w:tc>
        <w:tc>
          <w:tcPr>
            <w:tcW w:w="1252" w:type="dxa"/>
            <w:shd w:val="clear" w:color="auto" w:fill="D9D9D9" w:themeFill="background1" w:themeFillShade="D9"/>
            <w:vAlign w:val="center"/>
          </w:tcPr>
          <w:p w14:paraId="16426064" w14:textId="77777777" w:rsidR="007200F7" w:rsidRPr="005D112D" w:rsidRDefault="007200F7" w:rsidP="003007CC">
            <w:pPr>
              <w:jc w:val="center"/>
              <w:textAlignment w:val="baseline"/>
              <w:rPr>
                <w:rFonts w:ascii="Arial" w:hAnsi="Arial" w:cs="Arial"/>
                <w:sz w:val="18"/>
                <w:szCs w:val="18"/>
              </w:rPr>
            </w:pPr>
            <w:r w:rsidRPr="005D112D">
              <w:rPr>
                <w:rFonts w:ascii="Arial" w:hAnsi="Arial" w:cs="Arial"/>
                <w:b/>
                <w:bCs/>
              </w:rPr>
              <w:t>% of Students Transfer to DASS</w:t>
            </w:r>
            <w:r w:rsidRPr="005D112D">
              <w:rPr>
                <w:rFonts w:ascii="Arial" w:hAnsi="Arial" w:cs="Arial"/>
              </w:rPr>
              <w:t> </w:t>
            </w:r>
          </w:p>
          <w:p w14:paraId="0B789DE5" w14:textId="77777777" w:rsidR="007200F7" w:rsidRPr="005D112D" w:rsidRDefault="007200F7" w:rsidP="003007CC">
            <w:pPr>
              <w:jc w:val="center"/>
              <w:textAlignment w:val="baseline"/>
              <w:rPr>
                <w:rFonts w:ascii="Arial" w:hAnsi="Arial" w:cs="Arial"/>
                <w:sz w:val="18"/>
                <w:szCs w:val="18"/>
              </w:rPr>
            </w:pPr>
            <w:r w:rsidRPr="005D112D">
              <w:rPr>
                <w:rFonts w:ascii="Arial" w:hAnsi="Arial" w:cs="Arial"/>
                <w:b/>
                <w:bCs/>
              </w:rPr>
              <w:t>in 2017–18</w:t>
            </w:r>
            <w:r w:rsidRPr="005D112D">
              <w:rPr>
                <w:rFonts w:ascii="Arial" w:hAnsi="Arial" w:cs="Arial"/>
              </w:rPr>
              <w:t> </w:t>
            </w:r>
          </w:p>
        </w:tc>
        <w:tc>
          <w:tcPr>
            <w:tcW w:w="1252" w:type="dxa"/>
            <w:shd w:val="clear" w:color="auto" w:fill="D9D9D9" w:themeFill="background1" w:themeFillShade="D9"/>
            <w:vAlign w:val="center"/>
          </w:tcPr>
          <w:p w14:paraId="2D4E0B32" w14:textId="77777777" w:rsidR="007200F7" w:rsidRPr="005D112D" w:rsidRDefault="007200F7" w:rsidP="003007CC">
            <w:pPr>
              <w:jc w:val="center"/>
              <w:textAlignment w:val="baseline"/>
              <w:rPr>
                <w:rFonts w:ascii="Arial" w:hAnsi="Arial" w:cs="Arial"/>
                <w:sz w:val="18"/>
                <w:szCs w:val="18"/>
              </w:rPr>
            </w:pPr>
            <w:r w:rsidRPr="005D112D">
              <w:rPr>
                <w:rFonts w:ascii="Arial" w:hAnsi="Arial" w:cs="Arial"/>
                <w:b/>
                <w:bCs/>
              </w:rPr>
              <w:t>Statewide % Enrolled in 2018–19</w:t>
            </w:r>
            <w:r w:rsidRPr="005D112D">
              <w:rPr>
                <w:rFonts w:ascii="Arial" w:hAnsi="Arial" w:cs="Arial"/>
              </w:rPr>
              <w:t> </w:t>
            </w:r>
          </w:p>
        </w:tc>
        <w:tc>
          <w:tcPr>
            <w:tcW w:w="1366" w:type="dxa"/>
            <w:shd w:val="clear" w:color="auto" w:fill="D9D9D9" w:themeFill="background1" w:themeFillShade="D9"/>
            <w:vAlign w:val="center"/>
          </w:tcPr>
          <w:p w14:paraId="26104F10" w14:textId="77777777" w:rsidR="007200F7" w:rsidRPr="005D112D" w:rsidRDefault="007200F7" w:rsidP="003007CC">
            <w:pPr>
              <w:jc w:val="center"/>
              <w:textAlignment w:val="baseline"/>
              <w:rPr>
                <w:rFonts w:ascii="Arial" w:hAnsi="Arial" w:cs="Arial"/>
                <w:sz w:val="18"/>
                <w:szCs w:val="18"/>
              </w:rPr>
            </w:pPr>
            <w:r w:rsidRPr="005D112D">
              <w:rPr>
                <w:rFonts w:ascii="Arial" w:hAnsi="Arial" w:cs="Arial"/>
                <w:b/>
                <w:bCs/>
              </w:rPr>
              <w:t>% of Students Transfer to DASS</w:t>
            </w:r>
            <w:r w:rsidRPr="005D112D">
              <w:rPr>
                <w:rFonts w:ascii="Arial" w:hAnsi="Arial" w:cs="Arial"/>
              </w:rPr>
              <w:t> </w:t>
            </w:r>
          </w:p>
          <w:p w14:paraId="5AB5E0BE" w14:textId="77777777" w:rsidR="007200F7" w:rsidRPr="005D112D" w:rsidRDefault="007200F7" w:rsidP="003007CC">
            <w:pPr>
              <w:jc w:val="center"/>
              <w:textAlignment w:val="baseline"/>
              <w:rPr>
                <w:rFonts w:ascii="Arial" w:hAnsi="Arial" w:cs="Arial"/>
                <w:sz w:val="18"/>
                <w:szCs w:val="18"/>
              </w:rPr>
            </w:pPr>
            <w:r w:rsidRPr="005D112D">
              <w:rPr>
                <w:rFonts w:ascii="Arial" w:hAnsi="Arial" w:cs="Arial"/>
                <w:b/>
                <w:bCs/>
              </w:rPr>
              <w:t>in 2018–19</w:t>
            </w:r>
            <w:r w:rsidRPr="005D112D">
              <w:rPr>
                <w:rFonts w:ascii="Arial" w:hAnsi="Arial" w:cs="Arial"/>
              </w:rPr>
              <w:t> </w:t>
            </w:r>
          </w:p>
        </w:tc>
        <w:tc>
          <w:tcPr>
            <w:tcW w:w="1252" w:type="dxa"/>
            <w:shd w:val="clear" w:color="auto" w:fill="D9D9D9" w:themeFill="background1" w:themeFillShade="D9"/>
            <w:vAlign w:val="center"/>
          </w:tcPr>
          <w:p w14:paraId="0E7BC141" w14:textId="77777777" w:rsidR="007200F7" w:rsidRPr="005D112D" w:rsidRDefault="007200F7" w:rsidP="003007CC">
            <w:pPr>
              <w:jc w:val="center"/>
              <w:textAlignment w:val="baseline"/>
              <w:rPr>
                <w:rFonts w:ascii="Arial" w:hAnsi="Arial" w:cs="Arial"/>
                <w:sz w:val="18"/>
                <w:szCs w:val="18"/>
              </w:rPr>
            </w:pPr>
            <w:r w:rsidRPr="005D112D">
              <w:rPr>
                <w:rFonts w:ascii="Arial" w:hAnsi="Arial" w:cs="Arial"/>
                <w:b/>
                <w:bCs/>
              </w:rPr>
              <w:t>Statewide % Enrolled in 2019–20</w:t>
            </w:r>
            <w:r w:rsidRPr="005D112D">
              <w:rPr>
                <w:rFonts w:ascii="Arial" w:hAnsi="Arial" w:cs="Arial"/>
              </w:rPr>
              <w:t> </w:t>
            </w:r>
          </w:p>
        </w:tc>
        <w:tc>
          <w:tcPr>
            <w:tcW w:w="1245" w:type="dxa"/>
            <w:shd w:val="clear" w:color="auto" w:fill="D9D9D9" w:themeFill="background1" w:themeFillShade="D9"/>
            <w:vAlign w:val="center"/>
          </w:tcPr>
          <w:p w14:paraId="3CB18121" w14:textId="77777777" w:rsidR="007200F7" w:rsidRPr="005D112D" w:rsidRDefault="007200F7" w:rsidP="003007CC">
            <w:pPr>
              <w:jc w:val="center"/>
              <w:textAlignment w:val="baseline"/>
              <w:rPr>
                <w:rFonts w:ascii="Arial" w:hAnsi="Arial" w:cs="Arial"/>
                <w:sz w:val="18"/>
                <w:szCs w:val="18"/>
              </w:rPr>
            </w:pPr>
            <w:r w:rsidRPr="005D112D">
              <w:rPr>
                <w:rFonts w:ascii="Arial" w:hAnsi="Arial" w:cs="Arial"/>
                <w:b/>
                <w:bCs/>
              </w:rPr>
              <w:t>% of Students Transfer to DASS </w:t>
            </w:r>
            <w:r w:rsidRPr="005D112D">
              <w:rPr>
                <w:rFonts w:ascii="Arial" w:hAnsi="Arial" w:cs="Arial"/>
              </w:rPr>
              <w:t> </w:t>
            </w:r>
          </w:p>
          <w:p w14:paraId="00B39068" w14:textId="77777777" w:rsidR="007200F7" w:rsidRPr="005D112D" w:rsidRDefault="007200F7" w:rsidP="003007CC">
            <w:pPr>
              <w:jc w:val="center"/>
              <w:textAlignment w:val="baseline"/>
              <w:rPr>
                <w:rFonts w:ascii="Arial" w:hAnsi="Arial" w:cs="Arial"/>
                <w:sz w:val="18"/>
                <w:szCs w:val="18"/>
              </w:rPr>
            </w:pPr>
            <w:r w:rsidRPr="005D112D">
              <w:rPr>
                <w:rFonts w:ascii="Arial" w:hAnsi="Arial" w:cs="Arial"/>
                <w:b/>
                <w:bCs/>
              </w:rPr>
              <w:t>in 2019–20</w:t>
            </w:r>
            <w:r w:rsidRPr="005D112D">
              <w:rPr>
                <w:rFonts w:ascii="Arial" w:hAnsi="Arial" w:cs="Arial"/>
              </w:rPr>
              <w:t> </w:t>
            </w:r>
          </w:p>
        </w:tc>
        <w:tc>
          <w:tcPr>
            <w:tcW w:w="1231" w:type="dxa"/>
            <w:shd w:val="clear" w:color="auto" w:fill="D9D9D9" w:themeFill="background1" w:themeFillShade="D9"/>
            <w:vAlign w:val="center"/>
          </w:tcPr>
          <w:p w14:paraId="03B788DA" w14:textId="77777777" w:rsidR="007200F7" w:rsidRPr="005D112D" w:rsidRDefault="007200F7" w:rsidP="003007CC">
            <w:pPr>
              <w:jc w:val="center"/>
              <w:textAlignment w:val="baseline"/>
              <w:rPr>
                <w:rFonts w:ascii="Arial" w:hAnsi="Arial" w:cs="Arial"/>
                <w:b/>
                <w:bCs/>
              </w:rPr>
            </w:pPr>
            <w:r w:rsidRPr="005D112D">
              <w:rPr>
                <w:rFonts w:ascii="Arial" w:hAnsi="Arial" w:cs="Arial"/>
                <w:b/>
                <w:bCs/>
              </w:rPr>
              <w:t xml:space="preserve">DI in </w:t>
            </w:r>
          </w:p>
          <w:p w14:paraId="3309C6F9" w14:textId="77777777" w:rsidR="007200F7" w:rsidRPr="005D112D" w:rsidRDefault="007200F7" w:rsidP="003007CC">
            <w:pPr>
              <w:jc w:val="center"/>
              <w:textAlignment w:val="baseline"/>
              <w:rPr>
                <w:rFonts w:ascii="Arial" w:hAnsi="Arial" w:cs="Arial"/>
                <w:sz w:val="18"/>
                <w:szCs w:val="18"/>
              </w:rPr>
            </w:pPr>
            <w:r w:rsidRPr="005D112D">
              <w:rPr>
                <w:rFonts w:ascii="Arial" w:hAnsi="Arial" w:cs="Arial"/>
                <w:b/>
                <w:bCs/>
              </w:rPr>
              <w:t>2017–18</w:t>
            </w:r>
            <w:r w:rsidRPr="005D112D">
              <w:rPr>
                <w:rFonts w:ascii="Arial" w:hAnsi="Arial" w:cs="Arial"/>
              </w:rPr>
              <w:t> </w:t>
            </w:r>
          </w:p>
        </w:tc>
        <w:tc>
          <w:tcPr>
            <w:tcW w:w="1231" w:type="dxa"/>
            <w:shd w:val="clear" w:color="auto" w:fill="D9D9D9" w:themeFill="background1" w:themeFillShade="D9"/>
            <w:vAlign w:val="center"/>
          </w:tcPr>
          <w:p w14:paraId="19231123" w14:textId="77777777" w:rsidR="007200F7" w:rsidRPr="005D112D" w:rsidRDefault="007200F7" w:rsidP="003007CC">
            <w:pPr>
              <w:jc w:val="center"/>
              <w:textAlignment w:val="baseline"/>
              <w:rPr>
                <w:rFonts w:ascii="Arial" w:hAnsi="Arial" w:cs="Arial"/>
                <w:b/>
                <w:bCs/>
              </w:rPr>
            </w:pPr>
            <w:r w:rsidRPr="005D112D">
              <w:rPr>
                <w:rFonts w:ascii="Arial" w:hAnsi="Arial" w:cs="Arial"/>
                <w:b/>
                <w:bCs/>
              </w:rPr>
              <w:t>DI in</w:t>
            </w:r>
          </w:p>
          <w:p w14:paraId="71553BA0" w14:textId="77777777" w:rsidR="007200F7" w:rsidRPr="005D112D" w:rsidRDefault="007200F7" w:rsidP="003007CC">
            <w:pPr>
              <w:jc w:val="center"/>
              <w:textAlignment w:val="baseline"/>
              <w:rPr>
                <w:rFonts w:ascii="Arial" w:hAnsi="Arial" w:cs="Arial"/>
                <w:sz w:val="18"/>
                <w:szCs w:val="18"/>
              </w:rPr>
            </w:pPr>
            <w:r w:rsidRPr="005D112D">
              <w:rPr>
                <w:rFonts w:ascii="Arial" w:hAnsi="Arial" w:cs="Arial"/>
                <w:b/>
                <w:bCs/>
              </w:rPr>
              <w:t>2018–19</w:t>
            </w:r>
            <w:r w:rsidRPr="005D112D">
              <w:rPr>
                <w:rFonts w:ascii="Arial" w:hAnsi="Arial" w:cs="Arial"/>
              </w:rPr>
              <w:t> </w:t>
            </w:r>
          </w:p>
        </w:tc>
        <w:tc>
          <w:tcPr>
            <w:tcW w:w="1224" w:type="dxa"/>
            <w:shd w:val="clear" w:color="auto" w:fill="D9D9D9" w:themeFill="background1" w:themeFillShade="D9"/>
            <w:vAlign w:val="center"/>
          </w:tcPr>
          <w:p w14:paraId="6DDD4B64" w14:textId="77777777" w:rsidR="007200F7" w:rsidRPr="005D112D" w:rsidRDefault="007200F7" w:rsidP="003007CC">
            <w:pPr>
              <w:jc w:val="center"/>
              <w:textAlignment w:val="baseline"/>
              <w:rPr>
                <w:rFonts w:ascii="Arial" w:hAnsi="Arial" w:cs="Arial"/>
                <w:b/>
                <w:bCs/>
              </w:rPr>
            </w:pPr>
            <w:r w:rsidRPr="005D112D">
              <w:rPr>
                <w:rFonts w:ascii="Arial" w:hAnsi="Arial" w:cs="Arial"/>
                <w:b/>
                <w:bCs/>
              </w:rPr>
              <w:t>DI in</w:t>
            </w:r>
          </w:p>
          <w:p w14:paraId="5DA230E4" w14:textId="77777777" w:rsidR="007200F7" w:rsidRPr="005D112D" w:rsidRDefault="007200F7" w:rsidP="003007CC">
            <w:pPr>
              <w:jc w:val="center"/>
              <w:textAlignment w:val="baseline"/>
              <w:rPr>
                <w:rFonts w:ascii="Arial" w:hAnsi="Arial" w:cs="Arial"/>
                <w:sz w:val="18"/>
                <w:szCs w:val="18"/>
              </w:rPr>
            </w:pPr>
            <w:r w:rsidRPr="005D112D">
              <w:rPr>
                <w:rFonts w:ascii="Arial" w:hAnsi="Arial" w:cs="Arial"/>
                <w:b/>
                <w:bCs/>
              </w:rPr>
              <w:t xml:space="preserve"> 2019–20</w:t>
            </w:r>
            <w:r w:rsidRPr="005D112D">
              <w:rPr>
                <w:rFonts w:ascii="Arial" w:hAnsi="Arial" w:cs="Arial"/>
              </w:rPr>
              <w:t> </w:t>
            </w:r>
          </w:p>
        </w:tc>
      </w:tr>
      <w:tr w:rsidR="007200F7" w14:paraId="15399F85" w14:textId="77777777" w:rsidTr="007200F7">
        <w:tc>
          <w:tcPr>
            <w:tcW w:w="1746" w:type="dxa"/>
            <w:vAlign w:val="center"/>
          </w:tcPr>
          <w:p w14:paraId="0794D60E" w14:textId="77777777" w:rsidR="007200F7" w:rsidRPr="00B0197D" w:rsidRDefault="007200F7" w:rsidP="003007CC">
            <w:pPr>
              <w:textAlignment w:val="baseline"/>
              <w:rPr>
                <w:rFonts w:ascii="Arial" w:hAnsi="Arial" w:cs="Arial"/>
              </w:rPr>
            </w:pPr>
            <w:r w:rsidRPr="00B0197D">
              <w:rPr>
                <w:rFonts w:ascii="Arial" w:hAnsi="Arial" w:cs="Arial"/>
              </w:rPr>
              <w:t>English Learners </w:t>
            </w:r>
          </w:p>
        </w:tc>
        <w:tc>
          <w:tcPr>
            <w:tcW w:w="1265" w:type="dxa"/>
            <w:vAlign w:val="center"/>
          </w:tcPr>
          <w:p w14:paraId="73E4925A" w14:textId="77777777" w:rsidR="007200F7" w:rsidRPr="00B0197D" w:rsidRDefault="007200F7" w:rsidP="003007CC">
            <w:pPr>
              <w:jc w:val="center"/>
              <w:textAlignment w:val="baseline"/>
              <w:rPr>
                <w:rFonts w:ascii="Arial" w:hAnsi="Arial" w:cs="Arial"/>
              </w:rPr>
            </w:pPr>
            <w:r w:rsidRPr="00B0197D">
              <w:rPr>
                <w:rFonts w:ascii="Arial" w:hAnsi="Arial" w:cs="Arial"/>
              </w:rPr>
              <w:t>20.44% </w:t>
            </w:r>
          </w:p>
        </w:tc>
        <w:tc>
          <w:tcPr>
            <w:tcW w:w="1252" w:type="dxa"/>
            <w:vAlign w:val="center"/>
          </w:tcPr>
          <w:p w14:paraId="22CF7A89" w14:textId="77777777" w:rsidR="007200F7" w:rsidRPr="00B0197D" w:rsidRDefault="007200F7" w:rsidP="003007CC">
            <w:pPr>
              <w:jc w:val="center"/>
              <w:textAlignment w:val="baseline"/>
              <w:rPr>
                <w:rFonts w:ascii="Arial" w:hAnsi="Arial" w:cs="Arial"/>
              </w:rPr>
            </w:pPr>
            <w:r w:rsidRPr="00B0197D">
              <w:rPr>
                <w:rFonts w:ascii="Arial" w:hAnsi="Arial" w:cs="Arial"/>
              </w:rPr>
              <w:t>17.9% </w:t>
            </w:r>
          </w:p>
        </w:tc>
        <w:tc>
          <w:tcPr>
            <w:tcW w:w="1252" w:type="dxa"/>
            <w:vAlign w:val="center"/>
          </w:tcPr>
          <w:p w14:paraId="0C9CACB8" w14:textId="77777777" w:rsidR="007200F7" w:rsidRPr="00B0197D" w:rsidRDefault="007200F7" w:rsidP="003007CC">
            <w:pPr>
              <w:jc w:val="center"/>
              <w:textAlignment w:val="baseline"/>
              <w:rPr>
                <w:rFonts w:ascii="Arial" w:hAnsi="Arial" w:cs="Arial"/>
              </w:rPr>
            </w:pPr>
            <w:r w:rsidRPr="00B0197D">
              <w:rPr>
                <w:rFonts w:ascii="Arial" w:hAnsi="Arial" w:cs="Arial"/>
                <w:color w:val="000000"/>
              </w:rPr>
              <w:t>19.3% </w:t>
            </w:r>
          </w:p>
        </w:tc>
        <w:tc>
          <w:tcPr>
            <w:tcW w:w="1366" w:type="dxa"/>
            <w:vAlign w:val="center"/>
          </w:tcPr>
          <w:p w14:paraId="719AC53D" w14:textId="77777777" w:rsidR="007200F7" w:rsidRPr="00B0197D" w:rsidRDefault="007200F7" w:rsidP="003007CC">
            <w:pPr>
              <w:jc w:val="center"/>
              <w:textAlignment w:val="baseline"/>
              <w:rPr>
                <w:rFonts w:ascii="Arial" w:hAnsi="Arial" w:cs="Arial"/>
              </w:rPr>
            </w:pPr>
            <w:r w:rsidRPr="00B0197D">
              <w:rPr>
                <w:rFonts w:ascii="Arial" w:hAnsi="Arial" w:cs="Arial"/>
                <w:color w:val="000000"/>
              </w:rPr>
              <w:t>18.7% </w:t>
            </w:r>
          </w:p>
        </w:tc>
        <w:tc>
          <w:tcPr>
            <w:tcW w:w="1252" w:type="dxa"/>
            <w:vAlign w:val="center"/>
          </w:tcPr>
          <w:p w14:paraId="598DB06A" w14:textId="77777777" w:rsidR="007200F7" w:rsidRPr="00B0197D" w:rsidRDefault="007200F7" w:rsidP="003007CC">
            <w:pPr>
              <w:jc w:val="center"/>
              <w:textAlignment w:val="baseline"/>
              <w:rPr>
                <w:rFonts w:ascii="Arial" w:hAnsi="Arial" w:cs="Arial"/>
              </w:rPr>
            </w:pPr>
            <w:r w:rsidRPr="00B0197D">
              <w:rPr>
                <w:rFonts w:ascii="Arial" w:hAnsi="Arial" w:cs="Arial"/>
                <w:color w:val="000000" w:themeColor="text1"/>
              </w:rPr>
              <w:t>18.6% </w:t>
            </w:r>
          </w:p>
        </w:tc>
        <w:tc>
          <w:tcPr>
            <w:tcW w:w="1245" w:type="dxa"/>
            <w:vAlign w:val="center"/>
          </w:tcPr>
          <w:p w14:paraId="2BB5CB12" w14:textId="77777777" w:rsidR="007200F7" w:rsidRPr="00B0197D" w:rsidRDefault="007200F7" w:rsidP="003007CC">
            <w:pPr>
              <w:jc w:val="center"/>
              <w:textAlignment w:val="baseline"/>
              <w:rPr>
                <w:rFonts w:ascii="Arial" w:hAnsi="Arial" w:cs="Arial"/>
              </w:rPr>
            </w:pPr>
            <w:r w:rsidRPr="00B0197D">
              <w:rPr>
                <w:rFonts w:ascii="Arial" w:hAnsi="Arial" w:cs="Arial"/>
              </w:rPr>
              <w:t>14.3% </w:t>
            </w:r>
          </w:p>
        </w:tc>
        <w:tc>
          <w:tcPr>
            <w:tcW w:w="1231" w:type="dxa"/>
            <w:vAlign w:val="center"/>
          </w:tcPr>
          <w:p w14:paraId="783C2EFA" w14:textId="77777777" w:rsidR="007200F7" w:rsidRPr="00B0197D" w:rsidRDefault="007200F7" w:rsidP="003007CC">
            <w:pPr>
              <w:jc w:val="center"/>
              <w:textAlignment w:val="baseline"/>
              <w:rPr>
                <w:rFonts w:ascii="Arial" w:hAnsi="Arial" w:cs="Arial"/>
              </w:rPr>
            </w:pPr>
            <w:r w:rsidRPr="00B0197D">
              <w:rPr>
                <w:rFonts w:ascii="Arial" w:hAnsi="Arial" w:cs="Arial"/>
              </w:rPr>
              <w:t>0.87 </w:t>
            </w:r>
          </w:p>
        </w:tc>
        <w:tc>
          <w:tcPr>
            <w:tcW w:w="1231" w:type="dxa"/>
            <w:vAlign w:val="center"/>
          </w:tcPr>
          <w:p w14:paraId="37E32AED" w14:textId="77777777" w:rsidR="007200F7" w:rsidRPr="00B0197D" w:rsidRDefault="007200F7" w:rsidP="003007CC">
            <w:pPr>
              <w:jc w:val="center"/>
              <w:textAlignment w:val="baseline"/>
              <w:rPr>
                <w:rFonts w:ascii="Arial" w:hAnsi="Arial" w:cs="Arial"/>
              </w:rPr>
            </w:pPr>
            <w:r w:rsidRPr="00B0197D">
              <w:rPr>
                <w:rFonts w:ascii="Arial" w:hAnsi="Arial" w:cs="Arial"/>
              </w:rPr>
              <w:t>0.97 </w:t>
            </w:r>
          </w:p>
        </w:tc>
        <w:tc>
          <w:tcPr>
            <w:tcW w:w="1224" w:type="dxa"/>
            <w:vAlign w:val="center"/>
          </w:tcPr>
          <w:p w14:paraId="20F2948D" w14:textId="77777777" w:rsidR="007200F7" w:rsidRPr="00B0197D" w:rsidRDefault="007200F7" w:rsidP="003007CC">
            <w:pPr>
              <w:jc w:val="center"/>
              <w:textAlignment w:val="baseline"/>
              <w:rPr>
                <w:rFonts w:ascii="Arial" w:hAnsi="Arial" w:cs="Arial"/>
              </w:rPr>
            </w:pPr>
            <w:r w:rsidRPr="00B0197D">
              <w:rPr>
                <w:rFonts w:ascii="Arial" w:hAnsi="Arial" w:cs="Arial"/>
                <w:color w:val="000000" w:themeColor="text1"/>
              </w:rPr>
              <w:t>0.77 </w:t>
            </w:r>
          </w:p>
        </w:tc>
      </w:tr>
      <w:tr w:rsidR="007200F7" w14:paraId="3ED0A618" w14:textId="77777777" w:rsidTr="007200F7">
        <w:tc>
          <w:tcPr>
            <w:tcW w:w="1746" w:type="dxa"/>
            <w:vAlign w:val="center"/>
          </w:tcPr>
          <w:p w14:paraId="5EA970EE" w14:textId="77777777" w:rsidR="007200F7" w:rsidRPr="00B0197D" w:rsidRDefault="007200F7" w:rsidP="003007CC">
            <w:pPr>
              <w:textAlignment w:val="baseline"/>
              <w:rPr>
                <w:rFonts w:ascii="Arial" w:hAnsi="Arial" w:cs="Arial"/>
              </w:rPr>
            </w:pPr>
            <w:r w:rsidRPr="00B0197D">
              <w:rPr>
                <w:rFonts w:ascii="Arial" w:hAnsi="Arial" w:cs="Arial"/>
              </w:rPr>
              <w:t>Foster Youth </w:t>
            </w:r>
          </w:p>
        </w:tc>
        <w:tc>
          <w:tcPr>
            <w:tcW w:w="1265" w:type="dxa"/>
            <w:vAlign w:val="center"/>
          </w:tcPr>
          <w:p w14:paraId="255E3C78" w14:textId="77777777" w:rsidR="007200F7" w:rsidRPr="00B0197D" w:rsidRDefault="007200F7" w:rsidP="003007CC">
            <w:pPr>
              <w:jc w:val="center"/>
              <w:textAlignment w:val="baseline"/>
              <w:rPr>
                <w:rFonts w:ascii="Arial" w:hAnsi="Arial" w:cs="Arial"/>
              </w:rPr>
            </w:pPr>
            <w:r w:rsidRPr="00B0197D">
              <w:rPr>
                <w:rFonts w:ascii="Arial" w:hAnsi="Arial" w:cs="Arial"/>
              </w:rPr>
              <w:t>0.55% </w:t>
            </w:r>
          </w:p>
        </w:tc>
        <w:tc>
          <w:tcPr>
            <w:tcW w:w="1252" w:type="dxa"/>
            <w:vAlign w:val="center"/>
          </w:tcPr>
          <w:p w14:paraId="2B42918D" w14:textId="77777777" w:rsidR="007200F7" w:rsidRPr="00B0197D" w:rsidRDefault="007200F7" w:rsidP="003007CC">
            <w:pPr>
              <w:jc w:val="center"/>
              <w:textAlignment w:val="baseline"/>
              <w:rPr>
                <w:rFonts w:ascii="Arial" w:hAnsi="Arial" w:cs="Arial"/>
              </w:rPr>
            </w:pPr>
            <w:r w:rsidRPr="00B0197D">
              <w:rPr>
                <w:rFonts w:ascii="Arial" w:hAnsi="Arial" w:cs="Arial"/>
              </w:rPr>
              <w:t>4.2% </w:t>
            </w:r>
          </w:p>
        </w:tc>
        <w:tc>
          <w:tcPr>
            <w:tcW w:w="1252" w:type="dxa"/>
            <w:vAlign w:val="center"/>
          </w:tcPr>
          <w:p w14:paraId="33D68C6A" w14:textId="77777777" w:rsidR="007200F7" w:rsidRPr="00B0197D" w:rsidRDefault="007200F7" w:rsidP="003007CC">
            <w:pPr>
              <w:jc w:val="center"/>
              <w:textAlignment w:val="baseline"/>
              <w:rPr>
                <w:rFonts w:ascii="Arial" w:hAnsi="Arial" w:cs="Arial"/>
              </w:rPr>
            </w:pPr>
            <w:r w:rsidRPr="00B0197D">
              <w:rPr>
                <w:rFonts w:ascii="Arial" w:hAnsi="Arial" w:cs="Arial"/>
                <w:color w:val="000000"/>
              </w:rPr>
              <w:t>0.5% </w:t>
            </w:r>
          </w:p>
        </w:tc>
        <w:tc>
          <w:tcPr>
            <w:tcW w:w="1366" w:type="dxa"/>
            <w:vAlign w:val="center"/>
          </w:tcPr>
          <w:p w14:paraId="48D58F35" w14:textId="77777777" w:rsidR="007200F7" w:rsidRPr="00B0197D" w:rsidRDefault="007200F7" w:rsidP="003007CC">
            <w:pPr>
              <w:jc w:val="center"/>
              <w:textAlignment w:val="baseline"/>
              <w:rPr>
                <w:rFonts w:ascii="Arial" w:hAnsi="Arial" w:cs="Arial"/>
              </w:rPr>
            </w:pPr>
            <w:r w:rsidRPr="00B0197D">
              <w:rPr>
                <w:rFonts w:ascii="Arial" w:hAnsi="Arial" w:cs="Arial"/>
                <w:color w:val="000000"/>
              </w:rPr>
              <w:t>2.8% </w:t>
            </w:r>
          </w:p>
        </w:tc>
        <w:tc>
          <w:tcPr>
            <w:tcW w:w="1252" w:type="dxa"/>
            <w:vAlign w:val="center"/>
          </w:tcPr>
          <w:p w14:paraId="43E3AFC8" w14:textId="77777777" w:rsidR="007200F7" w:rsidRPr="00B0197D" w:rsidRDefault="007200F7" w:rsidP="003007CC">
            <w:pPr>
              <w:jc w:val="center"/>
              <w:textAlignment w:val="baseline"/>
              <w:rPr>
                <w:rFonts w:ascii="Arial" w:hAnsi="Arial" w:cs="Arial"/>
              </w:rPr>
            </w:pPr>
            <w:r w:rsidRPr="00B0197D">
              <w:rPr>
                <w:rFonts w:ascii="Arial" w:hAnsi="Arial" w:cs="Arial"/>
                <w:color w:val="000000"/>
              </w:rPr>
              <w:t>0.5% </w:t>
            </w:r>
          </w:p>
        </w:tc>
        <w:tc>
          <w:tcPr>
            <w:tcW w:w="1245" w:type="dxa"/>
            <w:vAlign w:val="center"/>
          </w:tcPr>
          <w:p w14:paraId="10DB6918" w14:textId="77777777" w:rsidR="007200F7" w:rsidRPr="00B0197D" w:rsidRDefault="007200F7" w:rsidP="003007CC">
            <w:pPr>
              <w:jc w:val="center"/>
              <w:textAlignment w:val="baseline"/>
              <w:rPr>
                <w:rFonts w:ascii="Arial" w:hAnsi="Arial" w:cs="Arial"/>
              </w:rPr>
            </w:pPr>
            <w:r w:rsidRPr="00B0197D">
              <w:rPr>
                <w:rFonts w:ascii="Arial" w:hAnsi="Arial" w:cs="Arial"/>
                <w:color w:val="000000" w:themeColor="text1"/>
              </w:rPr>
              <w:t>2.9% </w:t>
            </w:r>
          </w:p>
        </w:tc>
        <w:tc>
          <w:tcPr>
            <w:tcW w:w="1231" w:type="dxa"/>
            <w:vAlign w:val="center"/>
          </w:tcPr>
          <w:p w14:paraId="4C5B849A" w14:textId="77777777" w:rsidR="007200F7" w:rsidRPr="00B0197D" w:rsidRDefault="007200F7" w:rsidP="003007CC">
            <w:pPr>
              <w:jc w:val="center"/>
              <w:textAlignment w:val="baseline"/>
              <w:rPr>
                <w:rFonts w:ascii="Arial" w:hAnsi="Arial" w:cs="Arial"/>
              </w:rPr>
            </w:pPr>
            <w:r w:rsidRPr="00B0197D">
              <w:rPr>
                <w:rFonts w:ascii="Arial" w:hAnsi="Arial" w:cs="Arial"/>
              </w:rPr>
              <w:t>7.52 </w:t>
            </w:r>
          </w:p>
        </w:tc>
        <w:tc>
          <w:tcPr>
            <w:tcW w:w="1231" w:type="dxa"/>
            <w:vAlign w:val="center"/>
          </w:tcPr>
          <w:p w14:paraId="6DFADB57" w14:textId="77777777" w:rsidR="007200F7" w:rsidRPr="00B0197D" w:rsidRDefault="007200F7" w:rsidP="003007CC">
            <w:pPr>
              <w:jc w:val="center"/>
              <w:textAlignment w:val="baseline"/>
              <w:rPr>
                <w:rFonts w:ascii="Arial" w:hAnsi="Arial" w:cs="Arial"/>
              </w:rPr>
            </w:pPr>
            <w:r w:rsidRPr="00B0197D">
              <w:rPr>
                <w:rFonts w:ascii="Arial" w:hAnsi="Arial" w:cs="Arial"/>
              </w:rPr>
              <w:t>5.15 </w:t>
            </w:r>
          </w:p>
        </w:tc>
        <w:tc>
          <w:tcPr>
            <w:tcW w:w="1224" w:type="dxa"/>
            <w:vAlign w:val="center"/>
          </w:tcPr>
          <w:p w14:paraId="4BBD78D0" w14:textId="77777777" w:rsidR="007200F7" w:rsidRPr="00B0197D" w:rsidRDefault="007200F7" w:rsidP="003007CC">
            <w:pPr>
              <w:jc w:val="center"/>
              <w:textAlignment w:val="baseline"/>
              <w:rPr>
                <w:rFonts w:ascii="Arial" w:hAnsi="Arial" w:cs="Arial"/>
              </w:rPr>
            </w:pPr>
            <w:r w:rsidRPr="00B0197D">
              <w:rPr>
                <w:rFonts w:ascii="Arial" w:hAnsi="Arial" w:cs="Arial"/>
                <w:color w:val="000000" w:themeColor="text1"/>
              </w:rPr>
              <w:t>5.41</w:t>
            </w:r>
          </w:p>
        </w:tc>
      </w:tr>
      <w:tr w:rsidR="007200F7" w14:paraId="157DA10B" w14:textId="77777777" w:rsidTr="007200F7">
        <w:tc>
          <w:tcPr>
            <w:tcW w:w="1746" w:type="dxa"/>
            <w:vAlign w:val="center"/>
          </w:tcPr>
          <w:p w14:paraId="6580BB16" w14:textId="77777777" w:rsidR="007200F7" w:rsidRPr="00B0197D" w:rsidRDefault="007200F7" w:rsidP="003007CC">
            <w:pPr>
              <w:textAlignment w:val="baseline"/>
              <w:rPr>
                <w:rFonts w:ascii="Arial" w:hAnsi="Arial" w:cs="Arial"/>
              </w:rPr>
            </w:pPr>
            <w:r w:rsidRPr="00B0197D">
              <w:rPr>
                <w:rFonts w:ascii="Arial" w:hAnsi="Arial" w:cs="Arial"/>
              </w:rPr>
              <w:t>Homeless </w:t>
            </w:r>
          </w:p>
        </w:tc>
        <w:tc>
          <w:tcPr>
            <w:tcW w:w="1265" w:type="dxa"/>
            <w:vAlign w:val="center"/>
          </w:tcPr>
          <w:p w14:paraId="16962911" w14:textId="77777777" w:rsidR="007200F7" w:rsidRPr="00B0197D" w:rsidRDefault="007200F7" w:rsidP="003007CC">
            <w:pPr>
              <w:jc w:val="center"/>
              <w:textAlignment w:val="baseline"/>
              <w:rPr>
                <w:rFonts w:ascii="Arial" w:hAnsi="Arial" w:cs="Arial"/>
              </w:rPr>
            </w:pPr>
            <w:r w:rsidRPr="00B0197D">
              <w:rPr>
                <w:rFonts w:ascii="Arial" w:hAnsi="Arial" w:cs="Arial"/>
              </w:rPr>
              <w:t>3.28% </w:t>
            </w:r>
          </w:p>
        </w:tc>
        <w:tc>
          <w:tcPr>
            <w:tcW w:w="1252" w:type="dxa"/>
            <w:vAlign w:val="center"/>
          </w:tcPr>
          <w:p w14:paraId="19B21E23" w14:textId="77777777" w:rsidR="007200F7" w:rsidRPr="00B0197D" w:rsidRDefault="007200F7" w:rsidP="003007CC">
            <w:pPr>
              <w:jc w:val="center"/>
              <w:textAlignment w:val="baseline"/>
              <w:rPr>
                <w:rFonts w:ascii="Arial" w:hAnsi="Arial" w:cs="Arial"/>
              </w:rPr>
            </w:pPr>
            <w:r w:rsidRPr="00B0197D">
              <w:rPr>
                <w:rFonts w:ascii="Arial" w:hAnsi="Arial" w:cs="Arial"/>
              </w:rPr>
              <w:t>5.8% </w:t>
            </w:r>
          </w:p>
        </w:tc>
        <w:tc>
          <w:tcPr>
            <w:tcW w:w="1252" w:type="dxa"/>
            <w:vAlign w:val="center"/>
          </w:tcPr>
          <w:p w14:paraId="613AD797" w14:textId="77777777" w:rsidR="007200F7" w:rsidRPr="00B0197D" w:rsidRDefault="007200F7" w:rsidP="003007CC">
            <w:pPr>
              <w:jc w:val="center"/>
              <w:textAlignment w:val="baseline"/>
              <w:rPr>
                <w:rFonts w:ascii="Arial" w:hAnsi="Arial" w:cs="Arial"/>
              </w:rPr>
            </w:pPr>
            <w:r w:rsidRPr="00B0197D">
              <w:rPr>
                <w:rFonts w:ascii="Arial" w:hAnsi="Arial" w:cs="Arial"/>
                <w:color w:val="000000"/>
              </w:rPr>
              <w:t>3.4% </w:t>
            </w:r>
          </w:p>
        </w:tc>
        <w:tc>
          <w:tcPr>
            <w:tcW w:w="1366" w:type="dxa"/>
            <w:vAlign w:val="center"/>
          </w:tcPr>
          <w:p w14:paraId="296DA282" w14:textId="77777777" w:rsidR="007200F7" w:rsidRPr="00B0197D" w:rsidRDefault="007200F7" w:rsidP="003007CC">
            <w:pPr>
              <w:jc w:val="center"/>
              <w:textAlignment w:val="baseline"/>
              <w:rPr>
                <w:rFonts w:ascii="Arial" w:hAnsi="Arial" w:cs="Arial"/>
              </w:rPr>
            </w:pPr>
            <w:r w:rsidRPr="00B0197D">
              <w:rPr>
                <w:rFonts w:ascii="Arial" w:hAnsi="Arial" w:cs="Arial"/>
                <w:color w:val="000000"/>
              </w:rPr>
              <w:t>5.9% </w:t>
            </w:r>
          </w:p>
        </w:tc>
        <w:tc>
          <w:tcPr>
            <w:tcW w:w="1252" w:type="dxa"/>
            <w:vAlign w:val="center"/>
          </w:tcPr>
          <w:p w14:paraId="6E002938" w14:textId="77777777" w:rsidR="007200F7" w:rsidRPr="00B0197D" w:rsidRDefault="007200F7" w:rsidP="003007CC">
            <w:pPr>
              <w:jc w:val="center"/>
              <w:textAlignment w:val="baseline"/>
              <w:rPr>
                <w:rFonts w:ascii="Arial" w:hAnsi="Arial" w:cs="Arial"/>
              </w:rPr>
            </w:pPr>
            <w:r w:rsidRPr="00B0197D">
              <w:rPr>
                <w:rFonts w:ascii="Arial" w:hAnsi="Arial" w:cs="Arial"/>
                <w:color w:val="000000"/>
              </w:rPr>
              <w:t>3.2% </w:t>
            </w:r>
          </w:p>
        </w:tc>
        <w:tc>
          <w:tcPr>
            <w:tcW w:w="1245" w:type="dxa"/>
            <w:vAlign w:val="center"/>
          </w:tcPr>
          <w:p w14:paraId="173A3AF0" w14:textId="77777777" w:rsidR="007200F7" w:rsidRPr="00B0197D" w:rsidRDefault="007200F7" w:rsidP="003007CC">
            <w:pPr>
              <w:jc w:val="center"/>
              <w:textAlignment w:val="baseline"/>
              <w:rPr>
                <w:rFonts w:ascii="Arial" w:hAnsi="Arial" w:cs="Arial"/>
              </w:rPr>
            </w:pPr>
            <w:r w:rsidRPr="00B0197D">
              <w:rPr>
                <w:rFonts w:ascii="Arial" w:hAnsi="Arial" w:cs="Arial"/>
                <w:color w:val="000000" w:themeColor="text1"/>
              </w:rPr>
              <w:t>4.4% </w:t>
            </w:r>
          </w:p>
        </w:tc>
        <w:tc>
          <w:tcPr>
            <w:tcW w:w="1231" w:type="dxa"/>
            <w:vAlign w:val="center"/>
          </w:tcPr>
          <w:p w14:paraId="2FF3CAC0" w14:textId="77777777" w:rsidR="007200F7" w:rsidRPr="00B0197D" w:rsidRDefault="007200F7" w:rsidP="003007CC">
            <w:pPr>
              <w:jc w:val="center"/>
              <w:textAlignment w:val="baseline"/>
              <w:rPr>
                <w:rFonts w:ascii="Arial" w:hAnsi="Arial" w:cs="Arial"/>
              </w:rPr>
            </w:pPr>
            <w:r w:rsidRPr="00B0197D">
              <w:rPr>
                <w:rFonts w:ascii="Arial" w:hAnsi="Arial" w:cs="Arial"/>
              </w:rPr>
              <w:t>1.78 </w:t>
            </w:r>
          </w:p>
        </w:tc>
        <w:tc>
          <w:tcPr>
            <w:tcW w:w="1231" w:type="dxa"/>
            <w:vAlign w:val="center"/>
          </w:tcPr>
          <w:p w14:paraId="36B5FF1E" w14:textId="77777777" w:rsidR="007200F7" w:rsidRPr="00B0197D" w:rsidRDefault="007200F7" w:rsidP="003007CC">
            <w:pPr>
              <w:jc w:val="center"/>
              <w:textAlignment w:val="baseline"/>
              <w:rPr>
                <w:rFonts w:ascii="Arial" w:hAnsi="Arial" w:cs="Arial"/>
              </w:rPr>
            </w:pPr>
            <w:r w:rsidRPr="00B0197D">
              <w:rPr>
                <w:rFonts w:ascii="Arial" w:hAnsi="Arial" w:cs="Arial"/>
              </w:rPr>
              <w:t>1.76 </w:t>
            </w:r>
          </w:p>
        </w:tc>
        <w:tc>
          <w:tcPr>
            <w:tcW w:w="1224" w:type="dxa"/>
            <w:vAlign w:val="center"/>
          </w:tcPr>
          <w:p w14:paraId="7F08F3CB" w14:textId="77777777" w:rsidR="007200F7" w:rsidRPr="00B0197D" w:rsidRDefault="007200F7" w:rsidP="003007CC">
            <w:pPr>
              <w:jc w:val="center"/>
              <w:textAlignment w:val="baseline"/>
              <w:rPr>
                <w:rFonts w:ascii="Arial" w:hAnsi="Arial" w:cs="Arial"/>
              </w:rPr>
            </w:pPr>
            <w:r w:rsidRPr="00B0197D">
              <w:rPr>
                <w:rFonts w:ascii="Arial" w:hAnsi="Arial" w:cs="Arial"/>
                <w:color w:val="000000" w:themeColor="text1"/>
              </w:rPr>
              <w:t>1.38</w:t>
            </w:r>
          </w:p>
        </w:tc>
      </w:tr>
      <w:tr w:rsidR="007200F7" w14:paraId="1FD9DEA6" w14:textId="77777777" w:rsidTr="007200F7">
        <w:tc>
          <w:tcPr>
            <w:tcW w:w="1746" w:type="dxa"/>
            <w:vAlign w:val="center"/>
          </w:tcPr>
          <w:p w14:paraId="0F97E4DD" w14:textId="77777777" w:rsidR="007200F7" w:rsidRPr="00B0197D" w:rsidRDefault="007200F7" w:rsidP="003007CC">
            <w:pPr>
              <w:textAlignment w:val="baseline"/>
              <w:rPr>
                <w:rFonts w:ascii="Arial" w:hAnsi="Arial" w:cs="Arial"/>
              </w:rPr>
            </w:pPr>
            <w:r w:rsidRPr="00B0197D">
              <w:rPr>
                <w:rFonts w:ascii="Arial" w:hAnsi="Arial" w:cs="Arial"/>
              </w:rPr>
              <w:t>Socio-economically Disadvantaged </w:t>
            </w:r>
          </w:p>
        </w:tc>
        <w:tc>
          <w:tcPr>
            <w:tcW w:w="1265" w:type="dxa"/>
            <w:vAlign w:val="center"/>
          </w:tcPr>
          <w:p w14:paraId="513398CC" w14:textId="77777777" w:rsidR="007200F7" w:rsidRPr="00B0197D" w:rsidRDefault="007200F7" w:rsidP="003007CC">
            <w:pPr>
              <w:jc w:val="center"/>
              <w:textAlignment w:val="baseline"/>
              <w:rPr>
                <w:rFonts w:ascii="Arial" w:hAnsi="Arial" w:cs="Arial"/>
              </w:rPr>
            </w:pPr>
            <w:r w:rsidRPr="00B0197D">
              <w:rPr>
                <w:rFonts w:ascii="Arial" w:hAnsi="Arial" w:cs="Arial"/>
              </w:rPr>
              <w:t>61.53% </w:t>
            </w:r>
          </w:p>
        </w:tc>
        <w:tc>
          <w:tcPr>
            <w:tcW w:w="1252" w:type="dxa"/>
            <w:vAlign w:val="center"/>
          </w:tcPr>
          <w:p w14:paraId="4379B1E3" w14:textId="77777777" w:rsidR="007200F7" w:rsidRPr="00B0197D" w:rsidRDefault="007200F7" w:rsidP="003007CC">
            <w:pPr>
              <w:jc w:val="center"/>
              <w:textAlignment w:val="baseline"/>
              <w:rPr>
                <w:rFonts w:ascii="Arial" w:hAnsi="Arial" w:cs="Arial"/>
              </w:rPr>
            </w:pPr>
            <w:r w:rsidRPr="00B0197D">
              <w:rPr>
                <w:rFonts w:ascii="Arial" w:hAnsi="Arial" w:cs="Arial"/>
              </w:rPr>
              <w:t>80.3% </w:t>
            </w:r>
          </w:p>
        </w:tc>
        <w:tc>
          <w:tcPr>
            <w:tcW w:w="1252" w:type="dxa"/>
            <w:vAlign w:val="center"/>
          </w:tcPr>
          <w:p w14:paraId="2EAA1AE5" w14:textId="77777777" w:rsidR="007200F7" w:rsidRPr="00B0197D" w:rsidRDefault="007200F7" w:rsidP="003007CC">
            <w:pPr>
              <w:jc w:val="center"/>
              <w:textAlignment w:val="baseline"/>
              <w:rPr>
                <w:rFonts w:ascii="Arial" w:hAnsi="Arial" w:cs="Arial"/>
              </w:rPr>
            </w:pPr>
            <w:r w:rsidRPr="00B0197D">
              <w:rPr>
                <w:rFonts w:ascii="Arial" w:hAnsi="Arial" w:cs="Arial"/>
                <w:color w:val="000000"/>
              </w:rPr>
              <w:t>60.9% </w:t>
            </w:r>
          </w:p>
        </w:tc>
        <w:tc>
          <w:tcPr>
            <w:tcW w:w="1366" w:type="dxa"/>
            <w:vAlign w:val="center"/>
          </w:tcPr>
          <w:p w14:paraId="4ED69D54" w14:textId="77777777" w:rsidR="007200F7" w:rsidRPr="00B0197D" w:rsidRDefault="007200F7" w:rsidP="003007CC">
            <w:pPr>
              <w:jc w:val="center"/>
              <w:textAlignment w:val="baseline"/>
              <w:rPr>
                <w:rFonts w:ascii="Arial" w:hAnsi="Arial" w:cs="Arial"/>
              </w:rPr>
            </w:pPr>
            <w:r w:rsidRPr="00B0197D">
              <w:rPr>
                <w:rFonts w:ascii="Arial" w:hAnsi="Arial" w:cs="Arial"/>
                <w:color w:val="000000"/>
              </w:rPr>
              <w:t>80.9% </w:t>
            </w:r>
          </w:p>
        </w:tc>
        <w:tc>
          <w:tcPr>
            <w:tcW w:w="1252" w:type="dxa"/>
            <w:vAlign w:val="center"/>
          </w:tcPr>
          <w:p w14:paraId="1A5E8D10" w14:textId="77777777" w:rsidR="007200F7" w:rsidRPr="009811BC" w:rsidRDefault="007200F7" w:rsidP="003007CC">
            <w:pPr>
              <w:jc w:val="center"/>
              <w:textAlignment w:val="baseline"/>
              <w:rPr>
                <w:rFonts w:ascii="Arial" w:hAnsi="Arial" w:cs="Arial"/>
                <w:color w:val="000000"/>
              </w:rPr>
            </w:pPr>
            <w:r w:rsidRPr="00B0197D">
              <w:rPr>
                <w:rFonts w:ascii="Arial" w:hAnsi="Arial" w:cs="Arial"/>
                <w:color w:val="000000"/>
              </w:rPr>
              <w:t>60.7%</w:t>
            </w:r>
          </w:p>
        </w:tc>
        <w:tc>
          <w:tcPr>
            <w:tcW w:w="1245" w:type="dxa"/>
            <w:vAlign w:val="center"/>
          </w:tcPr>
          <w:p w14:paraId="385667B8" w14:textId="77777777" w:rsidR="007200F7" w:rsidRPr="00B0197D" w:rsidRDefault="007200F7" w:rsidP="003007CC">
            <w:pPr>
              <w:jc w:val="center"/>
              <w:textAlignment w:val="baseline"/>
              <w:rPr>
                <w:rFonts w:ascii="Arial" w:hAnsi="Arial" w:cs="Arial"/>
              </w:rPr>
            </w:pPr>
            <w:r w:rsidRPr="00B0197D">
              <w:rPr>
                <w:rFonts w:ascii="Arial" w:hAnsi="Arial" w:cs="Arial"/>
                <w:color w:val="000000"/>
              </w:rPr>
              <w:t>66.5%</w:t>
            </w:r>
          </w:p>
        </w:tc>
        <w:tc>
          <w:tcPr>
            <w:tcW w:w="1231" w:type="dxa"/>
            <w:vAlign w:val="center"/>
          </w:tcPr>
          <w:p w14:paraId="65D5CD91" w14:textId="77777777" w:rsidR="007200F7" w:rsidRPr="00B0197D" w:rsidRDefault="007200F7" w:rsidP="003007CC">
            <w:pPr>
              <w:jc w:val="center"/>
              <w:textAlignment w:val="baseline"/>
              <w:rPr>
                <w:rFonts w:ascii="Arial" w:hAnsi="Arial" w:cs="Arial"/>
              </w:rPr>
            </w:pPr>
            <w:r w:rsidRPr="00B0197D">
              <w:rPr>
                <w:rFonts w:ascii="Arial" w:hAnsi="Arial" w:cs="Arial"/>
              </w:rPr>
              <w:t>1.31 </w:t>
            </w:r>
          </w:p>
        </w:tc>
        <w:tc>
          <w:tcPr>
            <w:tcW w:w="1231" w:type="dxa"/>
            <w:vAlign w:val="center"/>
          </w:tcPr>
          <w:p w14:paraId="563C17B4" w14:textId="77777777" w:rsidR="007200F7" w:rsidRPr="00B0197D" w:rsidRDefault="007200F7" w:rsidP="003007CC">
            <w:pPr>
              <w:jc w:val="center"/>
              <w:textAlignment w:val="baseline"/>
              <w:rPr>
                <w:rFonts w:ascii="Arial" w:hAnsi="Arial" w:cs="Arial"/>
              </w:rPr>
            </w:pPr>
            <w:r w:rsidRPr="00B0197D">
              <w:rPr>
                <w:rFonts w:ascii="Arial" w:hAnsi="Arial" w:cs="Arial"/>
              </w:rPr>
              <w:t>1.33 </w:t>
            </w:r>
          </w:p>
        </w:tc>
        <w:tc>
          <w:tcPr>
            <w:tcW w:w="1224" w:type="dxa"/>
            <w:vAlign w:val="center"/>
          </w:tcPr>
          <w:p w14:paraId="5A664109" w14:textId="77777777" w:rsidR="007200F7" w:rsidRPr="00B0197D" w:rsidRDefault="007200F7" w:rsidP="003007CC">
            <w:pPr>
              <w:jc w:val="center"/>
              <w:textAlignment w:val="baseline"/>
              <w:rPr>
                <w:rFonts w:ascii="Arial" w:hAnsi="Arial" w:cs="Arial"/>
                <w:color w:val="000000" w:themeColor="text1"/>
              </w:rPr>
            </w:pPr>
            <w:r w:rsidRPr="00B0197D">
              <w:rPr>
                <w:rFonts w:ascii="Arial" w:hAnsi="Arial" w:cs="Arial"/>
                <w:color w:val="000000" w:themeColor="text1"/>
              </w:rPr>
              <w:t>1.10</w:t>
            </w:r>
          </w:p>
        </w:tc>
      </w:tr>
      <w:tr w:rsidR="007200F7" w14:paraId="26415E03" w14:textId="77777777" w:rsidTr="007200F7">
        <w:tc>
          <w:tcPr>
            <w:tcW w:w="1746" w:type="dxa"/>
            <w:vAlign w:val="center"/>
          </w:tcPr>
          <w:p w14:paraId="043F3AC2" w14:textId="77777777" w:rsidR="007200F7" w:rsidRPr="00B0197D" w:rsidRDefault="007200F7" w:rsidP="003007CC">
            <w:pPr>
              <w:textAlignment w:val="baseline"/>
              <w:rPr>
                <w:rFonts w:ascii="Arial" w:hAnsi="Arial" w:cs="Arial"/>
              </w:rPr>
            </w:pPr>
            <w:r w:rsidRPr="00B0197D">
              <w:rPr>
                <w:rFonts w:ascii="Arial" w:hAnsi="Arial" w:cs="Arial"/>
              </w:rPr>
              <w:t>Students with Disabilities </w:t>
            </w:r>
          </w:p>
        </w:tc>
        <w:tc>
          <w:tcPr>
            <w:tcW w:w="1265" w:type="dxa"/>
            <w:vAlign w:val="center"/>
          </w:tcPr>
          <w:p w14:paraId="08BDDDA7" w14:textId="77777777" w:rsidR="007200F7" w:rsidRPr="00B0197D" w:rsidRDefault="007200F7" w:rsidP="003007CC">
            <w:pPr>
              <w:jc w:val="center"/>
              <w:textAlignment w:val="baseline"/>
              <w:rPr>
                <w:rFonts w:ascii="Arial" w:hAnsi="Arial" w:cs="Arial"/>
              </w:rPr>
            </w:pPr>
            <w:r w:rsidRPr="00B0197D">
              <w:rPr>
                <w:rFonts w:ascii="Arial" w:hAnsi="Arial" w:cs="Arial"/>
              </w:rPr>
              <w:t>11.32% </w:t>
            </w:r>
          </w:p>
        </w:tc>
        <w:tc>
          <w:tcPr>
            <w:tcW w:w="1252" w:type="dxa"/>
            <w:vAlign w:val="center"/>
          </w:tcPr>
          <w:p w14:paraId="76ECF37B" w14:textId="77777777" w:rsidR="007200F7" w:rsidRPr="00B0197D" w:rsidRDefault="007200F7" w:rsidP="003007CC">
            <w:pPr>
              <w:jc w:val="center"/>
              <w:textAlignment w:val="baseline"/>
              <w:rPr>
                <w:rFonts w:ascii="Arial" w:hAnsi="Arial" w:cs="Arial"/>
              </w:rPr>
            </w:pPr>
            <w:r w:rsidRPr="00B0197D">
              <w:rPr>
                <w:rFonts w:ascii="Arial" w:hAnsi="Arial" w:cs="Arial"/>
              </w:rPr>
              <w:t>14.0% </w:t>
            </w:r>
          </w:p>
        </w:tc>
        <w:tc>
          <w:tcPr>
            <w:tcW w:w="1252" w:type="dxa"/>
            <w:vAlign w:val="center"/>
          </w:tcPr>
          <w:p w14:paraId="7B45AF24" w14:textId="77777777" w:rsidR="007200F7" w:rsidRPr="00B0197D" w:rsidRDefault="007200F7" w:rsidP="003007CC">
            <w:pPr>
              <w:jc w:val="center"/>
              <w:textAlignment w:val="baseline"/>
              <w:rPr>
                <w:rFonts w:ascii="Arial" w:hAnsi="Arial" w:cs="Arial"/>
              </w:rPr>
            </w:pPr>
            <w:r w:rsidRPr="00B0197D">
              <w:rPr>
                <w:rFonts w:ascii="Arial" w:hAnsi="Arial" w:cs="Arial"/>
                <w:color w:val="000000"/>
              </w:rPr>
              <w:t>11.7% </w:t>
            </w:r>
          </w:p>
        </w:tc>
        <w:tc>
          <w:tcPr>
            <w:tcW w:w="1366" w:type="dxa"/>
            <w:vAlign w:val="center"/>
          </w:tcPr>
          <w:p w14:paraId="3B5CE2DA" w14:textId="77777777" w:rsidR="007200F7" w:rsidRPr="00B0197D" w:rsidRDefault="007200F7" w:rsidP="003007CC">
            <w:pPr>
              <w:jc w:val="center"/>
              <w:textAlignment w:val="baseline"/>
              <w:rPr>
                <w:rFonts w:ascii="Arial" w:hAnsi="Arial" w:cs="Arial"/>
              </w:rPr>
            </w:pPr>
            <w:r w:rsidRPr="00B0197D">
              <w:rPr>
                <w:rFonts w:ascii="Arial" w:hAnsi="Arial" w:cs="Arial"/>
                <w:color w:val="000000"/>
              </w:rPr>
              <w:t>14.1% </w:t>
            </w:r>
          </w:p>
        </w:tc>
        <w:tc>
          <w:tcPr>
            <w:tcW w:w="1252" w:type="dxa"/>
            <w:vAlign w:val="center"/>
          </w:tcPr>
          <w:p w14:paraId="757798E3" w14:textId="77777777" w:rsidR="007200F7" w:rsidRPr="009811BC" w:rsidRDefault="007200F7" w:rsidP="003007CC">
            <w:pPr>
              <w:jc w:val="center"/>
              <w:textAlignment w:val="baseline"/>
              <w:rPr>
                <w:rFonts w:ascii="Arial" w:hAnsi="Arial" w:cs="Arial"/>
                <w:color w:val="000000"/>
              </w:rPr>
            </w:pPr>
            <w:r w:rsidRPr="00B0197D">
              <w:rPr>
                <w:rFonts w:ascii="Arial" w:hAnsi="Arial" w:cs="Arial"/>
                <w:color w:val="000000"/>
              </w:rPr>
              <w:t>11.7% </w:t>
            </w:r>
          </w:p>
        </w:tc>
        <w:tc>
          <w:tcPr>
            <w:tcW w:w="1245" w:type="dxa"/>
            <w:vAlign w:val="center"/>
          </w:tcPr>
          <w:p w14:paraId="0831388D" w14:textId="77777777" w:rsidR="007200F7" w:rsidRPr="00B0197D" w:rsidRDefault="007200F7" w:rsidP="003007CC">
            <w:pPr>
              <w:jc w:val="center"/>
              <w:textAlignment w:val="baseline"/>
              <w:rPr>
                <w:rFonts w:ascii="Arial" w:hAnsi="Arial" w:cs="Arial"/>
              </w:rPr>
            </w:pPr>
            <w:r w:rsidRPr="00B0197D">
              <w:rPr>
                <w:rFonts w:ascii="Arial" w:hAnsi="Arial" w:cs="Arial"/>
                <w:color w:val="000000"/>
              </w:rPr>
              <w:t>11.9%</w:t>
            </w:r>
          </w:p>
        </w:tc>
        <w:tc>
          <w:tcPr>
            <w:tcW w:w="1231" w:type="dxa"/>
            <w:vAlign w:val="center"/>
          </w:tcPr>
          <w:p w14:paraId="635324E7" w14:textId="77777777" w:rsidR="007200F7" w:rsidRPr="00B0197D" w:rsidRDefault="007200F7" w:rsidP="003007CC">
            <w:pPr>
              <w:jc w:val="center"/>
              <w:textAlignment w:val="baseline"/>
              <w:rPr>
                <w:rFonts w:ascii="Arial" w:hAnsi="Arial" w:cs="Arial"/>
              </w:rPr>
            </w:pPr>
            <w:r w:rsidRPr="00B0197D">
              <w:rPr>
                <w:rFonts w:ascii="Arial" w:hAnsi="Arial" w:cs="Arial"/>
              </w:rPr>
              <w:t>1.24 </w:t>
            </w:r>
          </w:p>
        </w:tc>
        <w:tc>
          <w:tcPr>
            <w:tcW w:w="1231" w:type="dxa"/>
            <w:vAlign w:val="center"/>
          </w:tcPr>
          <w:p w14:paraId="07BBAE27" w14:textId="77777777" w:rsidR="007200F7" w:rsidRPr="00B0197D" w:rsidRDefault="007200F7" w:rsidP="003007CC">
            <w:pPr>
              <w:jc w:val="center"/>
              <w:textAlignment w:val="baseline"/>
              <w:rPr>
                <w:rFonts w:ascii="Arial" w:hAnsi="Arial" w:cs="Arial"/>
              </w:rPr>
            </w:pPr>
            <w:r w:rsidRPr="00B0197D">
              <w:rPr>
                <w:rFonts w:ascii="Arial" w:hAnsi="Arial" w:cs="Arial"/>
              </w:rPr>
              <w:t>1.20 </w:t>
            </w:r>
          </w:p>
        </w:tc>
        <w:tc>
          <w:tcPr>
            <w:tcW w:w="1224" w:type="dxa"/>
            <w:vAlign w:val="center"/>
          </w:tcPr>
          <w:p w14:paraId="4614C7CA" w14:textId="77777777" w:rsidR="007200F7" w:rsidRPr="00B0197D" w:rsidRDefault="007200F7" w:rsidP="003007CC">
            <w:pPr>
              <w:jc w:val="center"/>
              <w:textAlignment w:val="baseline"/>
              <w:rPr>
                <w:rFonts w:ascii="Arial" w:hAnsi="Arial" w:cs="Arial"/>
                <w:color w:val="000000" w:themeColor="text1"/>
              </w:rPr>
            </w:pPr>
            <w:r w:rsidRPr="00B0197D">
              <w:rPr>
                <w:rFonts w:ascii="Arial" w:hAnsi="Arial" w:cs="Arial"/>
                <w:color w:val="000000" w:themeColor="text1"/>
              </w:rPr>
              <w:t>1.02</w:t>
            </w:r>
          </w:p>
        </w:tc>
      </w:tr>
    </w:tbl>
    <w:p w14:paraId="07459315" w14:textId="77D1E1B6" w:rsidR="007200F7" w:rsidRDefault="007200F7" w:rsidP="00B47306">
      <w:pPr>
        <w:spacing w:line="480" w:lineRule="exact"/>
        <w:rPr>
          <w:rFonts w:ascii="Helvetica" w:eastAsia="Helvetica" w:hAnsi="Helvetica" w:cs="Helvetica"/>
          <w:b/>
          <w:bCs/>
          <w:color w:val="000000" w:themeColor="text1"/>
        </w:rPr>
        <w:sectPr w:rsidR="007200F7" w:rsidSect="00E35BDB">
          <w:headerReference w:type="default" r:id="rId25"/>
          <w:pgSz w:w="15840" w:h="12240" w:orient="landscape"/>
          <w:pgMar w:top="1440" w:right="1440" w:bottom="1440" w:left="720" w:header="720" w:footer="720" w:gutter="0"/>
          <w:pgNumType w:start="6"/>
          <w:cols w:space="720"/>
          <w:docGrid w:linePitch="326"/>
        </w:sectPr>
      </w:pPr>
    </w:p>
    <w:p w14:paraId="2B9072F6" w14:textId="77777777" w:rsidR="00B47306" w:rsidRPr="001545A2" w:rsidRDefault="00B47306" w:rsidP="00B47306">
      <w:pPr>
        <w:pStyle w:val="Heading5"/>
        <w:rPr>
          <w:rFonts w:ascii="Arial" w:hAnsi="Arial" w:cs="Arial"/>
          <w:b/>
          <w:color w:val="000000" w:themeColor="text1"/>
        </w:rPr>
      </w:pPr>
      <w:r w:rsidRPr="001545A2">
        <w:rPr>
          <w:rFonts w:ascii="Arial" w:eastAsia="Helvetica" w:hAnsi="Arial" w:cs="Arial"/>
          <w:b/>
          <w:color w:val="000000" w:themeColor="text1"/>
        </w:rPr>
        <w:lastRenderedPageBreak/>
        <w:t xml:space="preserve">Summary of Disproportionality of Program Student Group in </w:t>
      </w:r>
      <w:r w:rsidRPr="001545A2">
        <w:rPr>
          <w:rFonts w:ascii="Arial" w:hAnsi="Arial" w:cs="Arial"/>
          <w:b/>
          <w:color w:val="000000" w:themeColor="text1"/>
        </w:rPr>
        <w:t>2017–18, 2018</w:t>
      </w:r>
      <w:r w:rsidRPr="001545A2">
        <w:rPr>
          <w:rFonts w:ascii="Arial" w:hAnsi="Arial" w:cs="Arial"/>
          <w:b/>
          <w:bCs/>
          <w:color w:val="000000" w:themeColor="text1"/>
          <w:szCs w:val="22"/>
        </w:rPr>
        <w:t>–</w:t>
      </w:r>
      <w:r w:rsidRPr="001545A2">
        <w:rPr>
          <w:rFonts w:ascii="Arial" w:hAnsi="Arial" w:cs="Arial"/>
          <w:b/>
          <w:color w:val="000000" w:themeColor="text1"/>
        </w:rPr>
        <w:t>19, and 2019–20</w:t>
      </w:r>
    </w:p>
    <w:p w14:paraId="6DFB9E20" w14:textId="77777777" w:rsidR="00B47306" w:rsidRDefault="00B47306" w:rsidP="00B47306">
      <w:pPr>
        <w:rPr>
          <w:rFonts w:ascii="Helvetica" w:eastAsia="Helvetica" w:hAnsi="Helvetica" w:cs="Helvetica"/>
          <w:b/>
          <w:bCs/>
          <w:color w:val="000000" w:themeColor="text1"/>
        </w:rPr>
      </w:pPr>
    </w:p>
    <w:p w14:paraId="5390D58D" w14:textId="24D28496" w:rsidR="00B47306" w:rsidRPr="009D2D94" w:rsidRDefault="00B47306" w:rsidP="00B47306">
      <w:pPr>
        <w:rPr>
          <w:rFonts w:ascii="Arial" w:eastAsia="Helvetica" w:hAnsi="Arial" w:cs="Arial"/>
        </w:rPr>
      </w:pPr>
      <w:r w:rsidRPr="009D2D94">
        <w:rPr>
          <w:rFonts w:ascii="Arial" w:eastAsia="Helvetica" w:hAnsi="Arial" w:cs="Arial"/>
        </w:rPr>
        <w:t xml:space="preserve">Table 5 indicates that trends in disproportionality from 2017–18 continued into 2019–20 for all program student groups (although the </w:t>
      </w:r>
      <w:r w:rsidR="009C500C">
        <w:rPr>
          <w:rFonts w:ascii="Arial" w:hAnsi="Arial" w:cs="Arial"/>
        </w:rPr>
        <w:t>Disproportionality Index</w:t>
      </w:r>
      <w:r w:rsidRPr="009D2D94">
        <w:rPr>
          <w:rFonts w:ascii="Arial" w:eastAsia="Helvetica" w:hAnsi="Arial" w:cs="Arial"/>
        </w:rPr>
        <w:t xml:space="preserve"> declined slightly for all groups in the last year). Across all three years the transfer student population has:</w:t>
      </w:r>
    </w:p>
    <w:p w14:paraId="70DF9E56" w14:textId="77777777" w:rsidR="00B47306" w:rsidRDefault="00B47306" w:rsidP="00B47306">
      <w:pPr>
        <w:rPr>
          <w:rFonts w:eastAsia="Helvetica"/>
        </w:rPr>
      </w:pPr>
    </w:p>
    <w:p w14:paraId="102CDF11" w14:textId="6C136BA3" w:rsidR="00B47306" w:rsidRDefault="00B47306" w:rsidP="00B47306">
      <w:pPr>
        <w:pStyle w:val="ListParagraph"/>
        <w:numPr>
          <w:ilvl w:val="0"/>
          <w:numId w:val="23"/>
        </w:numPr>
        <w:rPr>
          <w:rFonts w:ascii="Arial" w:eastAsia="Helvetica" w:hAnsi="Arial" w:cs="Arial"/>
          <w:sz w:val="24"/>
          <w:szCs w:val="24"/>
        </w:rPr>
      </w:pPr>
      <w:r w:rsidRPr="00336767">
        <w:rPr>
          <w:rFonts w:ascii="Arial" w:eastAsia="Helvetica" w:hAnsi="Arial" w:cs="Arial"/>
          <w:sz w:val="24"/>
          <w:szCs w:val="24"/>
        </w:rPr>
        <w:t xml:space="preserve">A disproportionally higher percentage of </w:t>
      </w:r>
      <w:r>
        <w:rPr>
          <w:rFonts w:ascii="Arial" w:eastAsia="Helvetica" w:hAnsi="Arial" w:cs="Arial"/>
          <w:sz w:val="24"/>
          <w:szCs w:val="24"/>
        </w:rPr>
        <w:t>transfers among foster youth and homeless students</w:t>
      </w:r>
    </w:p>
    <w:p w14:paraId="44E871BC" w14:textId="77777777" w:rsidR="00B47306" w:rsidRDefault="00B47306" w:rsidP="00B47306">
      <w:pPr>
        <w:pStyle w:val="ListParagraph"/>
        <w:rPr>
          <w:rFonts w:ascii="Arial" w:eastAsia="Helvetica" w:hAnsi="Arial" w:cs="Arial"/>
          <w:sz w:val="24"/>
          <w:szCs w:val="24"/>
        </w:rPr>
      </w:pPr>
    </w:p>
    <w:p w14:paraId="1848B738" w14:textId="77777777" w:rsidR="00B47306" w:rsidRPr="00D75927" w:rsidRDefault="00B47306" w:rsidP="00B47306">
      <w:pPr>
        <w:pStyle w:val="ListParagraph"/>
        <w:numPr>
          <w:ilvl w:val="0"/>
          <w:numId w:val="23"/>
        </w:numPr>
        <w:rPr>
          <w:rFonts w:ascii="Helvetica" w:eastAsia="Helvetica" w:hAnsi="Helvetica" w:cs="Helvetica"/>
          <w:b/>
          <w:bCs/>
          <w:color w:val="000000" w:themeColor="text1"/>
        </w:rPr>
      </w:pPr>
      <w:r w:rsidRPr="00336767">
        <w:rPr>
          <w:rFonts w:ascii="Arial" w:eastAsia="Helvetica" w:hAnsi="Arial" w:cs="Arial"/>
          <w:sz w:val="24"/>
          <w:szCs w:val="24"/>
        </w:rPr>
        <w:t xml:space="preserve">A disproportionally lower percentage of </w:t>
      </w:r>
      <w:r>
        <w:rPr>
          <w:rFonts w:ascii="Arial" w:eastAsia="Helvetica" w:hAnsi="Arial" w:cs="Arial"/>
          <w:sz w:val="24"/>
          <w:szCs w:val="24"/>
        </w:rPr>
        <w:t xml:space="preserve">English Learners and Students with Disabilities </w:t>
      </w:r>
    </w:p>
    <w:p w14:paraId="144A5D23" w14:textId="77777777" w:rsidR="00B47306" w:rsidRDefault="00B47306" w:rsidP="00B47306">
      <w:pPr>
        <w:spacing w:line="257" w:lineRule="exact"/>
        <w:rPr>
          <w:rFonts w:eastAsia="Arial" w:cs="Arial"/>
          <w:b/>
          <w:bCs/>
          <w:color w:val="000000" w:themeColor="text1"/>
        </w:rPr>
      </w:pPr>
    </w:p>
    <w:p w14:paraId="1041D9AC" w14:textId="77777777" w:rsidR="00B47306" w:rsidRPr="00383A68" w:rsidRDefault="00B47306" w:rsidP="00B47306">
      <w:pPr>
        <w:pStyle w:val="Heading4"/>
        <w:spacing w:after="240"/>
        <w:rPr>
          <w:rFonts w:ascii="Arial" w:hAnsi="Arial" w:cs="Arial"/>
          <w:b/>
          <w:bCs/>
          <w:i w:val="0"/>
          <w:iCs w:val="0"/>
          <w:color w:val="000000" w:themeColor="text1"/>
          <w:sz w:val="28"/>
          <w:szCs w:val="28"/>
        </w:rPr>
      </w:pPr>
      <w:r w:rsidRPr="6B6ADF47">
        <w:rPr>
          <w:rFonts w:ascii="Arial" w:hAnsi="Arial" w:cs="Arial"/>
          <w:b/>
          <w:bCs/>
          <w:i w:val="0"/>
          <w:iCs w:val="0"/>
          <w:color w:val="000000" w:themeColor="text1"/>
          <w:sz w:val="28"/>
          <w:szCs w:val="28"/>
        </w:rPr>
        <w:t>Findings</w:t>
      </w:r>
    </w:p>
    <w:p w14:paraId="2BCD618E" w14:textId="77777777" w:rsidR="00B47306" w:rsidRDefault="00B47306" w:rsidP="00B47306">
      <w:pPr>
        <w:spacing w:line="257" w:lineRule="exact"/>
        <w:rPr>
          <w:rFonts w:ascii="Arial" w:eastAsia="Arial" w:hAnsi="Arial" w:cs="Arial"/>
          <w:color w:val="000000" w:themeColor="text1"/>
        </w:rPr>
      </w:pPr>
      <w:r w:rsidRPr="65C3B899">
        <w:rPr>
          <w:rFonts w:ascii="Arial" w:eastAsia="Arial" w:hAnsi="Arial" w:cs="Arial"/>
          <w:color w:val="000000" w:themeColor="text1"/>
        </w:rPr>
        <w:t xml:space="preserve">The analyses show that there was an overall decrease in student transfers from non-alternative high schools to DASS schools from 2017–2018 through 2019–2020. In total, there were 8,307 fewer transfers in 2019–2020, which translates into a 17.1 percent decrease from the base year. </w:t>
      </w:r>
    </w:p>
    <w:p w14:paraId="738610EB" w14:textId="77777777" w:rsidR="00B47306" w:rsidRDefault="00B47306" w:rsidP="00B47306">
      <w:pPr>
        <w:spacing w:line="257" w:lineRule="exact"/>
        <w:rPr>
          <w:color w:val="000000" w:themeColor="text1"/>
        </w:rPr>
      </w:pPr>
    </w:p>
    <w:p w14:paraId="5E439643" w14:textId="77777777" w:rsidR="00B47306" w:rsidRDefault="00B47306" w:rsidP="00B47306">
      <w:pPr>
        <w:spacing w:line="257" w:lineRule="exact"/>
        <w:rPr>
          <w:rFonts w:ascii="Arial" w:eastAsia="Arial" w:hAnsi="Arial" w:cs="Arial"/>
          <w:color w:val="000000" w:themeColor="text1"/>
        </w:rPr>
      </w:pPr>
      <w:r w:rsidRPr="143C458A">
        <w:rPr>
          <w:rFonts w:ascii="Arial" w:eastAsia="Arial" w:hAnsi="Arial" w:cs="Arial"/>
          <w:color w:val="000000" w:themeColor="text1"/>
        </w:rPr>
        <w:t xml:space="preserve">One question that merits analysis is whether these declines in transfer counts are due to an overall decline in the DASS student population from 2017–2018 through 2019–2020. In fact, </w:t>
      </w:r>
      <w:r>
        <w:rPr>
          <w:rFonts w:ascii="Arial" w:eastAsia="Arial" w:hAnsi="Arial" w:cs="Arial"/>
          <w:color w:val="000000" w:themeColor="text1"/>
        </w:rPr>
        <w:t>we can see in Table 6</w:t>
      </w:r>
      <w:r w:rsidRPr="143C458A">
        <w:rPr>
          <w:rFonts w:ascii="Arial" w:eastAsia="Arial" w:hAnsi="Arial" w:cs="Arial"/>
          <w:color w:val="000000" w:themeColor="text1"/>
        </w:rPr>
        <w:t>, that the overall number of high school students increased by about 20,000 during this period.</w:t>
      </w:r>
    </w:p>
    <w:p w14:paraId="637805D2" w14:textId="77777777" w:rsidR="00B47306" w:rsidRPr="00B0197D" w:rsidRDefault="00B47306" w:rsidP="00B47306">
      <w:pPr>
        <w:spacing w:line="257" w:lineRule="exact"/>
        <w:rPr>
          <w:rFonts w:ascii="Arial" w:eastAsia="Arial" w:hAnsi="Arial" w:cs="Arial"/>
          <w:color w:val="000000" w:themeColor="text1"/>
        </w:rPr>
      </w:pPr>
    </w:p>
    <w:p w14:paraId="2646899F" w14:textId="77777777" w:rsidR="00B47306" w:rsidRPr="00B0197D" w:rsidRDefault="00B47306" w:rsidP="00B47306">
      <w:pPr>
        <w:pStyle w:val="Heading5"/>
        <w:spacing w:after="240"/>
        <w:rPr>
          <w:rFonts w:ascii="Arial" w:eastAsia="Arial" w:hAnsi="Arial" w:cs="Arial"/>
          <w:b/>
          <w:color w:val="000000" w:themeColor="text1"/>
        </w:rPr>
      </w:pPr>
      <w:r w:rsidRPr="00B0197D">
        <w:rPr>
          <w:rFonts w:ascii="Arial" w:eastAsia="Arial" w:hAnsi="Arial" w:cs="Arial"/>
          <w:b/>
          <w:color w:val="000000" w:themeColor="text1"/>
        </w:rPr>
        <w:t>Table 6. Statewide 2019-20 Census Data</w:t>
      </w:r>
    </w:p>
    <w:tbl>
      <w:tblPr>
        <w:tblStyle w:val="TableGrid1"/>
        <w:tblW w:w="8925" w:type="dxa"/>
        <w:tblLayout w:type="fixed"/>
        <w:tblLook w:val="04A0" w:firstRow="1" w:lastRow="0" w:firstColumn="1" w:lastColumn="0" w:noHBand="0" w:noVBand="1"/>
      </w:tblPr>
      <w:tblGrid>
        <w:gridCol w:w="1620"/>
        <w:gridCol w:w="1620"/>
        <w:gridCol w:w="1275"/>
        <w:gridCol w:w="1365"/>
        <w:gridCol w:w="1380"/>
        <w:gridCol w:w="1665"/>
      </w:tblGrid>
      <w:tr w:rsidR="00B47306" w14:paraId="300B539C" w14:textId="77777777" w:rsidTr="00D11856">
        <w:trPr>
          <w:trHeight w:val="395"/>
          <w:tblHeader/>
        </w:trPr>
        <w:tc>
          <w:tcPr>
            <w:tcW w:w="1620" w:type="dxa"/>
            <w:shd w:val="clear" w:color="auto" w:fill="D9D9D9" w:themeFill="background1" w:themeFillShade="D9"/>
          </w:tcPr>
          <w:p w14:paraId="4826C1B8" w14:textId="77777777" w:rsidR="00B47306" w:rsidRPr="005D112D" w:rsidRDefault="00B47306" w:rsidP="00FF098A">
            <w:pPr>
              <w:jc w:val="center"/>
              <w:rPr>
                <w:rFonts w:ascii="Arial" w:hAnsi="Arial" w:cs="Arial"/>
                <w:b/>
                <w:bCs/>
              </w:rPr>
            </w:pPr>
            <w:r w:rsidRPr="005D112D">
              <w:rPr>
                <w:rFonts w:ascii="Arial" w:hAnsi="Arial" w:cs="Arial"/>
                <w:b/>
                <w:bCs/>
              </w:rPr>
              <w:t>School Year</w:t>
            </w:r>
          </w:p>
        </w:tc>
        <w:tc>
          <w:tcPr>
            <w:tcW w:w="1620" w:type="dxa"/>
            <w:shd w:val="clear" w:color="auto" w:fill="D9D9D9" w:themeFill="background1" w:themeFillShade="D9"/>
          </w:tcPr>
          <w:p w14:paraId="42075824" w14:textId="77777777" w:rsidR="00B47306" w:rsidRDefault="00B47306" w:rsidP="00FF098A">
            <w:pPr>
              <w:spacing w:beforeAutospacing="1" w:afterAutospacing="1"/>
              <w:jc w:val="center"/>
              <w:rPr>
                <w:rFonts w:ascii="Arial" w:eastAsia="Arial" w:hAnsi="Arial" w:cs="Arial"/>
                <w:b/>
                <w:bCs/>
              </w:rPr>
            </w:pPr>
            <w:r w:rsidRPr="143C458A">
              <w:rPr>
                <w:rFonts w:ascii="Arial" w:eastAsia="Arial" w:hAnsi="Arial" w:cs="Arial"/>
                <w:b/>
                <w:bCs/>
              </w:rPr>
              <w:t>Grade 9</w:t>
            </w:r>
          </w:p>
        </w:tc>
        <w:tc>
          <w:tcPr>
            <w:tcW w:w="1275" w:type="dxa"/>
            <w:shd w:val="clear" w:color="auto" w:fill="D9D9D9" w:themeFill="background1" w:themeFillShade="D9"/>
          </w:tcPr>
          <w:p w14:paraId="0526FC07" w14:textId="77777777" w:rsidR="00B47306" w:rsidRDefault="00B47306" w:rsidP="00D11856">
            <w:pPr>
              <w:spacing w:before="100" w:beforeAutospacing="1" w:after="100" w:afterAutospacing="1"/>
              <w:jc w:val="center"/>
              <w:rPr>
                <w:rFonts w:ascii="Arial" w:eastAsia="Arial" w:hAnsi="Arial" w:cs="Arial"/>
                <w:b/>
                <w:bCs/>
              </w:rPr>
            </w:pPr>
            <w:r w:rsidRPr="143C458A">
              <w:rPr>
                <w:rFonts w:ascii="Arial" w:eastAsia="Arial" w:hAnsi="Arial" w:cs="Arial"/>
                <w:b/>
                <w:bCs/>
              </w:rPr>
              <w:t>Grade 10</w:t>
            </w:r>
          </w:p>
        </w:tc>
        <w:tc>
          <w:tcPr>
            <w:tcW w:w="1365" w:type="dxa"/>
            <w:shd w:val="clear" w:color="auto" w:fill="D9D9D9" w:themeFill="background1" w:themeFillShade="D9"/>
          </w:tcPr>
          <w:p w14:paraId="2BF96F88" w14:textId="77777777" w:rsidR="00B47306" w:rsidRDefault="00B47306" w:rsidP="00FF098A">
            <w:pPr>
              <w:spacing w:beforeAutospacing="1" w:afterAutospacing="1"/>
              <w:jc w:val="center"/>
              <w:rPr>
                <w:rFonts w:ascii="Arial" w:eastAsia="Arial" w:hAnsi="Arial" w:cs="Arial"/>
                <w:b/>
                <w:bCs/>
              </w:rPr>
            </w:pPr>
            <w:r w:rsidRPr="143C458A">
              <w:rPr>
                <w:rFonts w:ascii="Arial" w:eastAsia="Arial" w:hAnsi="Arial" w:cs="Arial"/>
                <w:b/>
                <w:bCs/>
              </w:rPr>
              <w:t>Grade 11</w:t>
            </w:r>
          </w:p>
        </w:tc>
        <w:tc>
          <w:tcPr>
            <w:tcW w:w="1380" w:type="dxa"/>
            <w:shd w:val="clear" w:color="auto" w:fill="D9D9D9" w:themeFill="background1" w:themeFillShade="D9"/>
          </w:tcPr>
          <w:p w14:paraId="46B02432" w14:textId="77777777" w:rsidR="00B47306" w:rsidRDefault="00B47306" w:rsidP="00D11856">
            <w:pPr>
              <w:spacing w:before="100" w:beforeAutospacing="1"/>
              <w:jc w:val="center"/>
              <w:rPr>
                <w:rFonts w:ascii="Arial" w:eastAsia="Arial" w:hAnsi="Arial" w:cs="Arial"/>
                <w:b/>
                <w:bCs/>
              </w:rPr>
            </w:pPr>
            <w:r w:rsidRPr="143C458A">
              <w:rPr>
                <w:rFonts w:ascii="Arial" w:eastAsia="Arial" w:hAnsi="Arial" w:cs="Arial"/>
                <w:b/>
                <w:bCs/>
              </w:rPr>
              <w:t>Grade 12</w:t>
            </w:r>
          </w:p>
        </w:tc>
        <w:tc>
          <w:tcPr>
            <w:tcW w:w="1665" w:type="dxa"/>
            <w:shd w:val="clear" w:color="auto" w:fill="D9D9D9" w:themeFill="background1" w:themeFillShade="D9"/>
          </w:tcPr>
          <w:p w14:paraId="379FCE85" w14:textId="61D6678A" w:rsidR="00B47306" w:rsidRDefault="009C067E" w:rsidP="00FF098A">
            <w:pPr>
              <w:spacing w:beforeAutospacing="1" w:afterAutospacing="1"/>
              <w:jc w:val="center"/>
              <w:rPr>
                <w:rFonts w:ascii="Arial" w:eastAsia="Arial" w:hAnsi="Arial" w:cs="Arial"/>
                <w:b/>
                <w:bCs/>
              </w:rPr>
            </w:pPr>
            <w:r>
              <w:rPr>
                <w:rFonts w:ascii="Arial" w:eastAsia="Arial" w:hAnsi="Arial" w:cs="Arial"/>
                <w:b/>
                <w:bCs/>
              </w:rPr>
              <w:t>Total</w:t>
            </w:r>
          </w:p>
        </w:tc>
      </w:tr>
      <w:tr w:rsidR="00B47306" w14:paraId="3AD6B04A" w14:textId="77777777" w:rsidTr="00FF098A">
        <w:trPr>
          <w:trHeight w:val="300"/>
        </w:trPr>
        <w:tc>
          <w:tcPr>
            <w:tcW w:w="1620" w:type="dxa"/>
          </w:tcPr>
          <w:p w14:paraId="1B517D63" w14:textId="77777777" w:rsidR="00B47306" w:rsidRDefault="00B47306" w:rsidP="00FF098A">
            <w:pPr>
              <w:jc w:val="right"/>
              <w:rPr>
                <w:color w:val="000000" w:themeColor="text1"/>
              </w:rPr>
            </w:pPr>
            <w:r w:rsidRPr="143C458A">
              <w:rPr>
                <w:rFonts w:ascii="Arial" w:eastAsia="Arial" w:hAnsi="Arial" w:cs="Arial"/>
                <w:color w:val="000000" w:themeColor="text1"/>
              </w:rPr>
              <w:t>2017–2018</w:t>
            </w:r>
          </w:p>
        </w:tc>
        <w:tc>
          <w:tcPr>
            <w:tcW w:w="1620" w:type="dxa"/>
          </w:tcPr>
          <w:p w14:paraId="130A74B7" w14:textId="77777777" w:rsidR="00B47306" w:rsidRDefault="00B47306" w:rsidP="00FF098A">
            <w:pPr>
              <w:spacing w:beforeAutospacing="1" w:afterAutospacing="1"/>
              <w:jc w:val="right"/>
              <w:rPr>
                <w:rFonts w:ascii="Arial" w:eastAsia="Arial" w:hAnsi="Arial" w:cs="Arial"/>
                <w:color w:val="000000" w:themeColor="text1"/>
              </w:rPr>
            </w:pPr>
            <w:r w:rsidRPr="143C458A">
              <w:rPr>
                <w:rFonts w:ascii="Arial" w:eastAsia="Arial" w:hAnsi="Arial" w:cs="Arial"/>
                <w:color w:val="000000" w:themeColor="text1"/>
              </w:rPr>
              <w:t>500,397</w:t>
            </w:r>
          </w:p>
        </w:tc>
        <w:tc>
          <w:tcPr>
            <w:tcW w:w="1275" w:type="dxa"/>
          </w:tcPr>
          <w:p w14:paraId="572667B4" w14:textId="77777777" w:rsidR="00B47306" w:rsidRDefault="00B47306" w:rsidP="00FF098A">
            <w:pPr>
              <w:spacing w:beforeAutospacing="1" w:afterAutospacing="1"/>
              <w:jc w:val="right"/>
              <w:rPr>
                <w:rFonts w:ascii="Arial" w:eastAsia="Arial" w:hAnsi="Arial" w:cs="Arial"/>
                <w:color w:val="000000" w:themeColor="text1"/>
              </w:rPr>
            </w:pPr>
            <w:r w:rsidRPr="143C458A">
              <w:rPr>
                <w:rFonts w:ascii="Arial" w:eastAsia="Arial" w:hAnsi="Arial" w:cs="Arial"/>
                <w:color w:val="000000" w:themeColor="text1"/>
              </w:rPr>
              <w:t>496,819</w:t>
            </w:r>
          </w:p>
        </w:tc>
        <w:tc>
          <w:tcPr>
            <w:tcW w:w="1365" w:type="dxa"/>
          </w:tcPr>
          <w:p w14:paraId="5E37E0C5" w14:textId="77777777" w:rsidR="00B47306" w:rsidRDefault="00B47306" w:rsidP="00FF098A">
            <w:pPr>
              <w:spacing w:beforeAutospacing="1" w:afterAutospacing="1"/>
              <w:jc w:val="right"/>
              <w:rPr>
                <w:rFonts w:ascii="Arial" w:eastAsia="Arial" w:hAnsi="Arial" w:cs="Arial"/>
                <w:color w:val="000000" w:themeColor="text1"/>
              </w:rPr>
            </w:pPr>
            <w:r w:rsidRPr="143C458A">
              <w:rPr>
                <w:rFonts w:ascii="Arial" w:eastAsia="Arial" w:hAnsi="Arial" w:cs="Arial"/>
                <w:color w:val="000000" w:themeColor="text1"/>
              </w:rPr>
              <w:t>479,381</w:t>
            </w:r>
          </w:p>
        </w:tc>
        <w:tc>
          <w:tcPr>
            <w:tcW w:w="1380" w:type="dxa"/>
          </w:tcPr>
          <w:p w14:paraId="0E63ADC0" w14:textId="77777777" w:rsidR="00B47306" w:rsidRDefault="00B47306" w:rsidP="00FF098A">
            <w:pPr>
              <w:spacing w:beforeAutospacing="1" w:afterAutospacing="1"/>
              <w:jc w:val="right"/>
              <w:rPr>
                <w:rFonts w:ascii="Arial" w:eastAsia="Arial" w:hAnsi="Arial" w:cs="Arial"/>
                <w:color w:val="000000" w:themeColor="text1"/>
              </w:rPr>
            </w:pPr>
            <w:r w:rsidRPr="143C458A">
              <w:rPr>
                <w:rFonts w:ascii="Arial" w:eastAsia="Arial" w:hAnsi="Arial" w:cs="Arial"/>
                <w:color w:val="000000" w:themeColor="text1"/>
              </w:rPr>
              <w:t>486,592</w:t>
            </w:r>
          </w:p>
        </w:tc>
        <w:tc>
          <w:tcPr>
            <w:tcW w:w="1665" w:type="dxa"/>
          </w:tcPr>
          <w:p w14:paraId="3F1A0E5F" w14:textId="77777777" w:rsidR="00B47306" w:rsidRDefault="00B47306" w:rsidP="00FF098A">
            <w:pPr>
              <w:spacing w:beforeAutospacing="1" w:afterAutospacing="1"/>
              <w:jc w:val="right"/>
              <w:rPr>
                <w:rFonts w:ascii="Arial" w:eastAsia="Arial" w:hAnsi="Arial" w:cs="Arial"/>
                <w:b/>
                <w:bCs/>
              </w:rPr>
            </w:pPr>
            <w:r w:rsidRPr="143C458A">
              <w:rPr>
                <w:rFonts w:ascii="Arial" w:eastAsia="Arial" w:hAnsi="Arial" w:cs="Arial"/>
                <w:b/>
                <w:bCs/>
              </w:rPr>
              <w:t>1,963,189</w:t>
            </w:r>
          </w:p>
        </w:tc>
      </w:tr>
      <w:tr w:rsidR="00B47306" w14:paraId="456D3421" w14:textId="77777777" w:rsidTr="00FF098A">
        <w:trPr>
          <w:trHeight w:val="300"/>
        </w:trPr>
        <w:tc>
          <w:tcPr>
            <w:tcW w:w="1620" w:type="dxa"/>
          </w:tcPr>
          <w:p w14:paraId="77F8954B" w14:textId="77777777" w:rsidR="00B47306" w:rsidRDefault="00B47306" w:rsidP="00FF098A">
            <w:pPr>
              <w:jc w:val="right"/>
              <w:rPr>
                <w:color w:val="000000" w:themeColor="text1"/>
              </w:rPr>
            </w:pPr>
            <w:r w:rsidRPr="143C458A">
              <w:rPr>
                <w:rFonts w:ascii="Arial" w:eastAsia="Arial" w:hAnsi="Arial" w:cs="Arial"/>
                <w:color w:val="000000" w:themeColor="text1"/>
              </w:rPr>
              <w:t>2018–2019</w:t>
            </w:r>
          </w:p>
        </w:tc>
        <w:tc>
          <w:tcPr>
            <w:tcW w:w="1620" w:type="dxa"/>
          </w:tcPr>
          <w:p w14:paraId="7D3B7BEF" w14:textId="77777777" w:rsidR="00B47306" w:rsidRDefault="00B47306" w:rsidP="00FF098A">
            <w:pPr>
              <w:spacing w:beforeAutospacing="1" w:afterAutospacing="1"/>
              <w:jc w:val="right"/>
              <w:rPr>
                <w:rFonts w:ascii="Arial" w:eastAsia="Arial" w:hAnsi="Arial" w:cs="Arial"/>
                <w:color w:val="000000" w:themeColor="text1"/>
              </w:rPr>
            </w:pPr>
            <w:r w:rsidRPr="143C458A">
              <w:rPr>
                <w:rFonts w:ascii="Arial" w:eastAsia="Arial" w:hAnsi="Arial" w:cs="Arial"/>
                <w:color w:val="000000" w:themeColor="text1"/>
              </w:rPr>
              <w:t>493,903</w:t>
            </w:r>
          </w:p>
        </w:tc>
        <w:tc>
          <w:tcPr>
            <w:tcW w:w="1275" w:type="dxa"/>
          </w:tcPr>
          <w:p w14:paraId="2E7464FF" w14:textId="77777777" w:rsidR="00B47306" w:rsidRDefault="00B47306" w:rsidP="00FF098A">
            <w:pPr>
              <w:spacing w:beforeAutospacing="1" w:afterAutospacing="1"/>
              <w:jc w:val="right"/>
              <w:rPr>
                <w:rFonts w:ascii="Arial" w:eastAsia="Arial" w:hAnsi="Arial" w:cs="Arial"/>
                <w:color w:val="000000" w:themeColor="text1"/>
              </w:rPr>
            </w:pPr>
            <w:r w:rsidRPr="143C458A">
              <w:rPr>
                <w:rFonts w:ascii="Arial" w:eastAsia="Arial" w:hAnsi="Arial" w:cs="Arial"/>
                <w:color w:val="000000" w:themeColor="text1"/>
              </w:rPr>
              <w:t>492,690</w:t>
            </w:r>
          </w:p>
        </w:tc>
        <w:tc>
          <w:tcPr>
            <w:tcW w:w="1365" w:type="dxa"/>
          </w:tcPr>
          <w:p w14:paraId="4F99FA68" w14:textId="77777777" w:rsidR="00B47306" w:rsidRDefault="00B47306" w:rsidP="00FF098A">
            <w:pPr>
              <w:spacing w:beforeAutospacing="1" w:afterAutospacing="1"/>
              <w:jc w:val="right"/>
              <w:rPr>
                <w:rFonts w:ascii="Arial" w:eastAsia="Arial" w:hAnsi="Arial" w:cs="Arial"/>
                <w:color w:val="000000" w:themeColor="text1"/>
              </w:rPr>
            </w:pPr>
            <w:r w:rsidRPr="143C458A">
              <w:rPr>
                <w:rFonts w:ascii="Arial" w:eastAsia="Arial" w:hAnsi="Arial" w:cs="Arial"/>
                <w:color w:val="000000" w:themeColor="text1"/>
              </w:rPr>
              <w:t>474,843</w:t>
            </w:r>
          </w:p>
        </w:tc>
        <w:tc>
          <w:tcPr>
            <w:tcW w:w="1380" w:type="dxa"/>
          </w:tcPr>
          <w:p w14:paraId="0446F56A" w14:textId="77777777" w:rsidR="00B47306" w:rsidRDefault="00B47306" w:rsidP="00FF098A">
            <w:pPr>
              <w:spacing w:beforeAutospacing="1" w:afterAutospacing="1"/>
              <w:jc w:val="right"/>
              <w:rPr>
                <w:rFonts w:ascii="Arial" w:eastAsia="Arial" w:hAnsi="Arial" w:cs="Arial"/>
                <w:color w:val="000000" w:themeColor="text1"/>
              </w:rPr>
            </w:pPr>
            <w:r w:rsidRPr="143C458A">
              <w:rPr>
                <w:rFonts w:ascii="Arial" w:eastAsia="Arial" w:hAnsi="Arial" w:cs="Arial"/>
                <w:color w:val="000000" w:themeColor="text1"/>
              </w:rPr>
              <w:t>489,650</w:t>
            </w:r>
          </w:p>
        </w:tc>
        <w:tc>
          <w:tcPr>
            <w:tcW w:w="1665" w:type="dxa"/>
          </w:tcPr>
          <w:p w14:paraId="4613C3F8" w14:textId="77777777" w:rsidR="00B47306" w:rsidRPr="004B3B6B" w:rsidRDefault="00B47306" w:rsidP="00FF098A">
            <w:pPr>
              <w:spacing w:beforeAutospacing="1" w:afterAutospacing="1"/>
              <w:jc w:val="right"/>
              <w:rPr>
                <w:rFonts w:ascii="Arial" w:eastAsia="Arial" w:hAnsi="Arial" w:cs="Arial"/>
                <w:b/>
              </w:rPr>
            </w:pPr>
            <w:r w:rsidRPr="004B3B6B">
              <w:rPr>
                <w:rFonts w:ascii="Arial" w:eastAsia="Arial" w:hAnsi="Arial" w:cs="Arial"/>
                <w:b/>
              </w:rPr>
              <w:t>1,951,086</w:t>
            </w:r>
          </w:p>
        </w:tc>
      </w:tr>
      <w:tr w:rsidR="00B47306" w14:paraId="2066D087" w14:textId="77777777" w:rsidTr="00FF098A">
        <w:trPr>
          <w:trHeight w:val="300"/>
        </w:trPr>
        <w:tc>
          <w:tcPr>
            <w:tcW w:w="1620" w:type="dxa"/>
          </w:tcPr>
          <w:p w14:paraId="1FAE677C" w14:textId="77777777" w:rsidR="00B47306" w:rsidRDefault="00B47306" w:rsidP="00FF098A">
            <w:pPr>
              <w:jc w:val="right"/>
              <w:rPr>
                <w:color w:val="000000" w:themeColor="text1"/>
              </w:rPr>
            </w:pPr>
            <w:r w:rsidRPr="3793F3F7">
              <w:rPr>
                <w:rFonts w:ascii="Arial" w:eastAsia="Arial" w:hAnsi="Arial" w:cs="Arial"/>
                <w:color w:val="000000" w:themeColor="text1"/>
              </w:rPr>
              <w:t>2019–2020</w:t>
            </w:r>
          </w:p>
        </w:tc>
        <w:tc>
          <w:tcPr>
            <w:tcW w:w="1620" w:type="dxa"/>
          </w:tcPr>
          <w:p w14:paraId="1DEF8414" w14:textId="77777777" w:rsidR="00B47306" w:rsidRDefault="00B47306" w:rsidP="00FF098A">
            <w:pPr>
              <w:spacing w:beforeAutospacing="1" w:afterAutospacing="1"/>
              <w:jc w:val="right"/>
              <w:rPr>
                <w:rFonts w:ascii="Arial" w:eastAsia="Arial" w:hAnsi="Arial" w:cs="Arial"/>
                <w:color w:val="000000" w:themeColor="text1"/>
              </w:rPr>
            </w:pPr>
            <w:r w:rsidRPr="143C458A">
              <w:rPr>
                <w:rFonts w:ascii="Arial" w:eastAsia="Arial" w:hAnsi="Arial" w:cs="Arial"/>
                <w:color w:val="000000" w:themeColor="text1"/>
              </w:rPr>
              <w:t>495,277</w:t>
            </w:r>
          </w:p>
        </w:tc>
        <w:tc>
          <w:tcPr>
            <w:tcW w:w="1275" w:type="dxa"/>
          </w:tcPr>
          <w:p w14:paraId="23FF4724" w14:textId="77777777" w:rsidR="00B47306" w:rsidRDefault="00B47306" w:rsidP="00FF098A">
            <w:pPr>
              <w:spacing w:beforeAutospacing="1" w:afterAutospacing="1"/>
              <w:jc w:val="right"/>
              <w:rPr>
                <w:rFonts w:ascii="Arial" w:eastAsia="Arial" w:hAnsi="Arial" w:cs="Arial"/>
                <w:color w:val="000000" w:themeColor="text1"/>
              </w:rPr>
            </w:pPr>
            <w:r w:rsidRPr="143C458A">
              <w:rPr>
                <w:rFonts w:ascii="Arial" w:eastAsia="Arial" w:hAnsi="Arial" w:cs="Arial"/>
                <w:color w:val="000000" w:themeColor="text1"/>
              </w:rPr>
              <w:t>483,745</w:t>
            </w:r>
          </w:p>
        </w:tc>
        <w:tc>
          <w:tcPr>
            <w:tcW w:w="1365" w:type="dxa"/>
          </w:tcPr>
          <w:p w14:paraId="39BD584B" w14:textId="77777777" w:rsidR="00B47306" w:rsidRDefault="00B47306" w:rsidP="00FF098A">
            <w:pPr>
              <w:spacing w:beforeAutospacing="1" w:afterAutospacing="1"/>
              <w:jc w:val="right"/>
              <w:rPr>
                <w:rFonts w:ascii="Arial" w:eastAsia="Arial" w:hAnsi="Arial" w:cs="Arial"/>
                <w:color w:val="000000" w:themeColor="text1"/>
              </w:rPr>
            </w:pPr>
            <w:r w:rsidRPr="143C458A">
              <w:rPr>
                <w:rFonts w:ascii="Arial" w:eastAsia="Arial" w:hAnsi="Arial" w:cs="Arial"/>
                <w:color w:val="000000" w:themeColor="text1"/>
              </w:rPr>
              <w:t>475,696</w:t>
            </w:r>
          </w:p>
        </w:tc>
        <w:tc>
          <w:tcPr>
            <w:tcW w:w="1380" w:type="dxa"/>
          </w:tcPr>
          <w:p w14:paraId="4215C4DD" w14:textId="77777777" w:rsidR="00B47306" w:rsidRDefault="00B47306" w:rsidP="00FF098A">
            <w:pPr>
              <w:spacing w:beforeAutospacing="1" w:afterAutospacing="1"/>
              <w:jc w:val="right"/>
              <w:rPr>
                <w:rFonts w:ascii="Arial" w:eastAsia="Arial" w:hAnsi="Arial" w:cs="Arial"/>
                <w:color w:val="000000" w:themeColor="text1"/>
              </w:rPr>
            </w:pPr>
            <w:r w:rsidRPr="143C458A">
              <w:rPr>
                <w:rFonts w:ascii="Arial" w:eastAsia="Arial" w:hAnsi="Arial" w:cs="Arial"/>
                <w:color w:val="000000" w:themeColor="text1"/>
              </w:rPr>
              <w:t>489,221</w:t>
            </w:r>
          </w:p>
        </w:tc>
        <w:tc>
          <w:tcPr>
            <w:tcW w:w="1665" w:type="dxa"/>
          </w:tcPr>
          <w:p w14:paraId="4374B3DB" w14:textId="77777777" w:rsidR="00B47306" w:rsidRDefault="00B47306" w:rsidP="00FF098A">
            <w:pPr>
              <w:spacing w:beforeAutospacing="1" w:afterAutospacing="1"/>
              <w:jc w:val="right"/>
              <w:rPr>
                <w:rFonts w:ascii="Arial" w:eastAsia="Arial" w:hAnsi="Arial" w:cs="Arial"/>
                <w:b/>
                <w:bCs/>
              </w:rPr>
            </w:pPr>
            <w:r w:rsidRPr="143C458A">
              <w:rPr>
                <w:rFonts w:ascii="Arial" w:eastAsia="Arial" w:hAnsi="Arial" w:cs="Arial"/>
                <w:b/>
                <w:bCs/>
              </w:rPr>
              <w:t>1,943,939</w:t>
            </w:r>
          </w:p>
        </w:tc>
      </w:tr>
    </w:tbl>
    <w:p w14:paraId="463F29E8" w14:textId="77777777" w:rsidR="00B47306" w:rsidRDefault="00B47306" w:rsidP="00B47306">
      <w:pPr>
        <w:rPr>
          <w:rFonts w:ascii="Calibri" w:eastAsia="Calibri" w:hAnsi="Calibri" w:cs="Calibri"/>
          <w:sz w:val="22"/>
          <w:szCs w:val="22"/>
        </w:rPr>
      </w:pPr>
    </w:p>
    <w:p w14:paraId="591B5FE2" w14:textId="77777777" w:rsidR="00B47306" w:rsidRDefault="00B47306" w:rsidP="00B47306">
      <w:pPr>
        <w:spacing w:line="257" w:lineRule="exact"/>
        <w:rPr>
          <w:rFonts w:ascii="Arial" w:eastAsia="Arial" w:hAnsi="Arial" w:cs="Arial"/>
        </w:rPr>
      </w:pPr>
      <w:r w:rsidRPr="3793F3F7">
        <w:rPr>
          <w:rFonts w:ascii="Arial" w:eastAsia="Arial" w:hAnsi="Arial" w:cs="Arial"/>
        </w:rPr>
        <w:t>At the same time, the number of DASS high school students has increased by about 3,000 since 2017</w:t>
      </w:r>
      <w:r w:rsidRPr="3793F3F7">
        <w:rPr>
          <w:rFonts w:ascii="Arial" w:eastAsia="Arial" w:hAnsi="Arial" w:cs="Arial"/>
          <w:color w:val="000000" w:themeColor="text1"/>
        </w:rPr>
        <w:t>–</w:t>
      </w:r>
      <w:r w:rsidRPr="3793F3F7">
        <w:rPr>
          <w:rFonts w:ascii="Arial" w:eastAsia="Arial" w:hAnsi="Arial" w:cs="Arial"/>
        </w:rPr>
        <w:t xml:space="preserve"> 18,</w:t>
      </w:r>
      <w:r>
        <w:rPr>
          <w:rFonts w:ascii="Arial" w:eastAsia="Arial" w:hAnsi="Arial" w:cs="Arial"/>
        </w:rPr>
        <w:t xml:space="preserve"> as shown in Table 7</w:t>
      </w:r>
      <w:r w:rsidRPr="3793F3F7">
        <w:rPr>
          <w:rFonts w:ascii="Arial" w:eastAsia="Arial" w:hAnsi="Arial" w:cs="Arial"/>
        </w:rPr>
        <w:t>.</w:t>
      </w:r>
    </w:p>
    <w:p w14:paraId="3B7B4B86" w14:textId="77777777" w:rsidR="00B47306" w:rsidRDefault="00B47306" w:rsidP="00B47306">
      <w:pPr>
        <w:spacing w:line="257" w:lineRule="exact"/>
      </w:pPr>
    </w:p>
    <w:p w14:paraId="3BBE2B99" w14:textId="77777777" w:rsidR="00B47306" w:rsidRPr="00B0197D" w:rsidRDefault="00B47306" w:rsidP="00B47306">
      <w:pPr>
        <w:pStyle w:val="Heading5"/>
        <w:spacing w:after="240"/>
        <w:rPr>
          <w:rFonts w:ascii="Arial" w:hAnsi="Arial" w:cs="Arial"/>
          <w:b/>
          <w:color w:val="000000" w:themeColor="text1"/>
        </w:rPr>
      </w:pPr>
      <w:r w:rsidRPr="00B0197D">
        <w:rPr>
          <w:rFonts w:ascii="Arial" w:eastAsia="Arial" w:hAnsi="Arial" w:cs="Arial"/>
          <w:b/>
          <w:color w:val="000000" w:themeColor="text1"/>
        </w:rPr>
        <w:t>Table 7. Number of Students in DASS Students, by Grade, from 2017–2018 through 2019–2020</w:t>
      </w:r>
    </w:p>
    <w:tbl>
      <w:tblPr>
        <w:tblStyle w:val="TableGrid3"/>
        <w:tblW w:w="9715" w:type="dxa"/>
        <w:jc w:val="center"/>
        <w:tblLayout w:type="fixed"/>
        <w:tblLook w:val="04A0" w:firstRow="1" w:lastRow="0" w:firstColumn="1" w:lastColumn="0" w:noHBand="0" w:noVBand="1"/>
      </w:tblPr>
      <w:tblGrid>
        <w:gridCol w:w="1525"/>
        <w:gridCol w:w="1620"/>
        <w:gridCol w:w="1620"/>
        <w:gridCol w:w="1620"/>
        <w:gridCol w:w="1620"/>
        <w:gridCol w:w="1710"/>
      </w:tblGrid>
      <w:tr w:rsidR="00B47306" w14:paraId="60692365" w14:textId="77777777" w:rsidTr="00D11856">
        <w:trPr>
          <w:trHeight w:val="300"/>
          <w:tblHeader/>
          <w:jc w:val="center"/>
        </w:trPr>
        <w:tc>
          <w:tcPr>
            <w:tcW w:w="1525" w:type="dxa"/>
            <w:shd w:val="clear" w:color="auto" w:fill="D9D9D9" w:themeFill="background1" w:themeFillShade="D9"/>
          </w:tcPr>
          <w:p w14:paraId="54B3D7D2" w14:textId="77777777" w:rsidR="00B47306" w:rsidRDefault="00B47306" w:rsidP="00FF098A">
            <w:pPr>
              <w:jc w:val="right"/>
              <w:rPr>
                <w:rFonts w:ascii="Arial" w:eastAsia="Arial" w:hAnsi="Arial" w:cs="Arial"/>
                <w:b/>
                <w:bCs/>
                <w:color w:val="000000" w:themeColor="text1"/>
              </w:rPr>
            </w:pPr>
            <w:r w:rsidRPr="3793F3F7">
              <w:rPr>
                <w:rFonts w:ascii="Arial" w:eastAsia="Arial" w:hAnsi="Arial" w:cs="Arial"/>
                <w:b/>
                <w:bCs/>
                <w:color w:val="000000" w:themeColor="text1"/>
              </w:rPr>
              <w:t>School Year</w:t>
            </w:r>
          </w:p>
        </w:tc>
        <w:tc>
          <w:tcPr>
            <w:tcW w:w="1620" w:type="dxa"/>
            <w:shd w:val="clear" w:color="auto" w:fill="D9D9D9" w:themeFill="background1" w:themeFillShade="D9"/>
          </w:tcPr>
          <w:p w14:paraId="38A2B54C" w14:textId="77777777" w:rsidR="00B47306" w:rsidRDefault="00B47306" w:rsidP="00FF098A">
            <w:pPr>
              <w:jc w:val="right"/>
              <w:rPr>
                <w:rFonts w:ascii="Arial" w:eastAsia="Arial" w:hAnsi="Arial" w:cs="Arial"/>
                <w:color w:val="000000" w:themeColor="text1"/>
              </w:rPr>
            </w:pPr>
            <w:r w:rsidRPr="3793F3F7">
              <w:rPr>
                <w:rFonts w:ascii="Arial" w:eastAsia="Arial" w:hAnsi="Arial" w:cs="Arial"/>
                <w:b/>
                <w:bCs/>
                <w:color w:val="000000" w:themeColor="text1"/>
              </w:rPr>
              <w:t>Grade 9</w:t>
            </w:r>
          </w:p>
        </w:tc>
        <w:tc>
          <w:tcPr>
            <w:tcW w:w="1620" w:type="dxa"/>
            <w:shd w:val="clear" w:color="auto" w:fill="D9D9D9" w:themeFill="background1" w:themeFillShade="D9"/>
          </w:tcPr>
          <w:p w14:paraId="1ED3B42C" w14:textId="77777777" w:rsidR="00B47306" w:rsidRDefault="00B47306" w:rsidP="00FF098A">
            <w:pPr>
              <w:jc w:val="right"/>
              <w:rPr>
                <w:rFonts w:ascii="Arial" w:eastAsia="Arial" w:hAnsi="Arial" w:cs="Arial"/>
                <w:color w:val="000000" w:themeColor="text1"/>
              </w:rPr>
            </w:pPr>
            <w:r w:rsidRPr="3793F3F7">
              <w:rPr>
                <w:rFonts w:ascii="Arial" w:eastAsia="Arial" w:hAnsi="Arial" w:cs="Arial"/>
                <w:b/>
                <w:bCs/>
                <w:color w:val="000000" w:themeColor="text1"/>
              </w:rPr>
              <w:t>Grade 10</w:t>
            </w:r>
          </w:p>
        </w:tc>
        <w:tc>
          <w:tcPr>
            <w:tcW w:w="1620" w:type="dxa"/>
            <w:shd w:val="clear" w:color="auto" w:fill="D9D9D9" w:themeFill="background1" w:themeFillShade="D9"/>
          </w:tcPr>
          <w:p w14:paraId="44612ED3" w14:textId="77777777" w:rsidR="00B47306" w:rsidRDefault="00B47306" w:rsidP="00FF098A">
            <w:pPr>
              <w:jc w:val="right"/>
              <w:rPr>
                <w:rFonts w:ascii="Arial" w:eastAsia="Arial" w:hAnsi="Arial" w:cs="Arial"/>
                <w:color w:val="000000" w:themeColor="text1"/>
              </w:rPr>
            </w:pPr>
            <w:r w:rsidRPr="3793F3F7">
              <w:rPr>
                <w:rFonts w:ascii="Arial" w:eastAsia="Arial" w:hAnsi="Arial" w:cs="Arial"/>
                <w:b/>
                <w:bCs/>
                <w:color w:val="000000" w:themeColor="text1"/>
              </w:rPr>
              <w:t>Grade 11</w:t>
            </w:r>
          </w:p>
        </w:tc>
        <w:tc>
          <w:tcPr>
            <w:tcW w:w="1620" w:type="dxa"/>
            <w:shd w:val="clear" w:color="auto" w:fill="D9D9D9" w:themeFill="background1" w:themeFillShade="D9"/>
          </w:tcPr>
          <w:p w14:paraId="506352F2" w14:textId="77777777" w:rsidR="00B47306" w:rsidRDefault="00B47306" w:rsidP="00FF098A">
            <w:pPr>
              <w:jc w:val="right"/>
              <w:rPr>
                <w:rFonts w:ascii="Arial" w:eastAsia="Arial" w:hAnsi="Arial" w:cs="Arial"/>
                <w:color w:val="000000" w:themeColor="text1"/>
              </w:rPr>
            </w:pPr>
            <w:r w:rsidRPr="3793F3F7">
              <w:rPr>
                <w:rFonts w:ascii="Arial" w:eastAsia="Arial" w:hAnsi="Arial" w:cs="Arial"/>
                <w:b/>
                <w:bCs/>
                <w:color w:val="000000" w:themeColor="text1"/>
              </w:rPr>
              <w:t>Grade 12</w:t>
            </w:r>
          </w:p>
        </w:tc>
        <w:tc>
          <w:tcPr>
            <w:tcW w:w="1710" w:type="dxa"/>
            <w:shd w:val="clear" w:color="auto" w:fill="D9D9D9" w:themeFill="background1" w:themeFillShade="D9"/>
          </w:tcPr>
          <w:p w14:paraId="28731EB2" w14:textId="1E9D4CE4" w:rsidR="00B47306" w:rsidRDefault="009C067E" w:rsidP="00FF098A">
            <w:pPr>
              <w:jc w:val="right"/>
              <w:rPr>
                <w:rFonts w:ascii="Arial" w:eastAsia="Arial" w:hAnsi="Arial" w:cs="Arial"/>
                <w:color w:val="000000" w:themeColor="text1"/>
              </w:rPr>
            </w:pPr>
            <w:r>
              <w:rPr>
                <w:rFonts w:ascii="Arial" w:eastAsia="Arial" w:hAnsi="Arial" w:cs="Arial"/>
                <w:b/>
                <w:bCs/>
                <w:color w:val="000000" w:themeColor="text1"/>
              </w:rPr>
              <w:t>Total</w:t>
            </w:r>
          </w:p>
        </w:tc>
      </w:tr>
      <w:tr w:rsidR="00B47306" w14:paraId="6D3FF680" w14:textId="77777777" w:rsidTr="00FF098A">
        <w:trPr>
          <w:trHeight w:val="300"/>
          <w:jc w:val="center"/>
        </w:trPr>
        <w:tc>
          <w:tcPr>
            <w:tcW w:w="1525" w:type="dxa"/>
          </w:tcPr>
          <w:p w14:paraId="09C23F88" w14:textId="77777777" w:rsidR="00B47306" w:rsidRDefault="00B47306" w:rsidP="00FF098A">
            <w:pPr>
              <w:jc w:val="right"/>
              <w:rPr>
                <w:rFonts w:ascii="Arial" w:eastAsia="Arial" w:hAnsi="Arial" w:cs="Arial"/>
                <w:color w:val="000000" w:themeColor="text1"/>
              </w:rPr>
            </w:pPr>
            <w:r w:rsidRPr="3793F3F7">
              <w:rPr>
                <w:rFonts w:ascii="Arial" w:eastAsia="Arial" w:hAnsi="Arial" w:cs="Arial"/>
                <w:color w:val="000000" w:themeColor="text1"/>
              </w:rPr>
              <w:t>2017–2018</w:t>
            </w:r>
          </w:p>
        </w:tc>
        <w:tc>
          <w:tcPr>
            <w:tcW w:w="1620" w:type="dxa"/>
          </w:tcPr>
          <w:p w14:paraId="49BE7438" w14:textId="0B06A91A" w:rsidR="00B47306" w:rsidRDefault="00B47306" w:rsidP="00FF098A">
            <w:pPr>
              <w:jc w:val="right"/>
              <w:rPr>
                <w:rFonts w:ascii="Arial" w:eastAsia="Arial" w:hAnsi="Arial" w:cs="Arial"/>
                <w:color w:val="000000" w:themeColor="text1"/>
              </w:rPr>
            </w:pPr>
            <w:r w:rsidRPr="3793F3F7">
              <w:rPr>
                <w:rFonts w:ascii="Arial" w:eastAsia="Arial" w:hAnsi="Arial" w:cs="Arial"/>
                <w:color w:val="000000" w:themeColor="text1"/>
              </w:rPr>
              <w:t xml:space="preserve">18,453 </w:t>
            </w:r>
          </w:p>
        </w:tc>
        <w:tc>
          <w:tcPr>
            <w:tcW w:w="1620" w:type="dxa"/>
          </w:tcPr>
          <w:p w14:paraId="09855482" w14:textId="17965C76" w:rsidR="00B47306" w:rsidRDefault="00B47306" w:rsidP="00FF098A">
            <w:pPr>
              <w:jc w:val="right"/>
              <w:rPr>
                <w:rFonts w:ascii="Arial" w:eastAsia="Arial" w:hAnsi="Arial" w:cs="Arial"/>
                <w:color w:val="000000" w:themeColor="text1"/>
              </w:rPr>
            </w:pPr>
            <w:r w:rsidRPr="3793F3F7">
              <w:rPr>
                <w:rFonts w:ascii="Arial" w:eastAsia="Arial" w:hAnsi="Arial" w:cs="Arial"/>
                <w:color w:val="000000" w:themeColor="text1"/>
              </w:rPr>
              <w:t xml:space="preserve">20,656 </w:t>
            </w:r>
          </w:p>
        </w:tc>
        <w:tc>
          <w:tcPr>
            <w:tcW w:w="1620" w:type="dxa"/>
          </w:tcPr>
          <w:p w14:paraId="2E92E30B" w14:textId="48B00543" w:rsidR="00B47306" w:rsidRDefault="00B47306" w:rsidP="00FF098A">
            <w:pPr>
              <w:jc w:val="right"/>
              <w:rPr>
                <w:rFonts w:ascii="Arial" w:eastAsia="Arial" w:hAnsi="Arial" w:cs="Arial"/>
                <w:color w:val="000000" w:themeColor="text1"/>
              </w:rPr>
            </w:pPr>
            <w:r w:rsidRPr="3793F3F7">
              <w:rPr>
                <w:rFonts w:ascii="Arial" w:eastAsia="Arial" w:hAnsi="Arial" w:cs="Arial"/>
                <w:color w:val="000000" w:themeColor="text1"/>
              </w:rPr>
              <w:t xml:space="preserve">36,189 </w:t>
            </w:r>
          </w:p>
        </w:tc>
        <w:tc>
          <w:tcPr>
            <w:tcW w:w="1620" w:type="dxa"/>
          </w:tcPr>
          <w:p w14:paraId="44B0E968" w14:textId="489B92A2" w:rsidR="00B47306" w:rsidRDefault="00B47306" w:rsidP="00FF098A">
            <w:pPr>
              <w:jc w:val="right"/>
              <w:rPr>
                <w:rFonts w:ascii="Arial" w:eastAsia="Arial" w:hAnsi="Arial" w:cs="Arial"/>
                <w:color w:val="000000" w:themeColor="text1"/>
              </w:rPr>
            </w:pPr>
            <w:r w:rsidRPr="3793F3F7">
              <w:rPr>
                <w:rFonts w:ascii="Arial" w:eastAsia="Arial" w:hAnsi="Arial" w:cs="Arial"/>
                <w:color w:val="000000" w:themeColor="text1"/>
              </w:rPr>
              <w:t xml:space="preserve">60,791 </w:t>
            </w:r>
          </w:p>
        </w:tc>
        <w:tc>
          <w:tcPr>
            <w:tcW w:w="1710" w:type="dxa"/>
          </w:tcPr>
          <w:p w14:paraId="0FAD4565" w14:textId="135529B8" w:rsidR="00B47306" w:rsidRDefault="00B47306" w:rsidP="00FF098A">
            <w:pPr>
              <w:jc w:val="right"/>
              <w:rPr>
                <w:rFonts w:ascii="Arial" w:eastAsia="Arial" w:hAnsi="Arial" w:cs="Arial"/>
                <w:b/>
                <w:bCs/>
                <w:color w:val="000000" w:themeColor="text1"/>
              </w:rPr>
            </w:pPr>
            <w:r w:rsidRPr="3793F3F7">
              <w:rPr>
                <w:rFonts w:ascii="Arial" w:eastAsia="Arial" w:hAnsi="Arial" w:cs="Arial"/>
                <w:b/>
                <w:bCs/>
                <w:color w:val="000000" w:themeColor="text1"/>
              </w:rPr>
              <w:t xml:space="preserve">136,089 </w:t>
            </w:r>
          </w:p>
        </w:tc>
      </w:tr>
      <w:tr w:rsidR="00B47306" w14:paraId="0E0E798E" w14:textId="77777777" w:rsidTr="00FF098A">
        <w:trPr>
          <w:trHeight w:val="300"/>
          <w:jc w:val="center"/>
        </w:trPr>
        <w:tc>
          <w:tcPr>
            <w:tcW w:w="1525" w:type="dxa"/>
          </w:tcPr>
          <w:p w14:paraId="5AA514B7" w14:textId="77777777" w:rsidR="00B47306" w:rsidRDefault="00B47306" w:rsidP="00FF098A">
            <w:pPr>
              <w:jc w:val="right"/>
              <w:rPr>
                <w:color w:val="000000" w:themeColor="text1"/>
              </w:rPr>
            </w:pPr>
            <w:r w:rsidRPr="3793F3F7">
              <w:rPr>
                <w:rFonts w:ascii="Arial" w:eastAsia="Arial" w:hAnsi="Arial" w:cs="Arial"/>
                <w:color w:val="000000" w:themeColor="text1"/>
              </w:rPr>
              <w:t>2018–2019</w:t>
            </w:r>
          </w:p>
        </w:tc>
        <w:tc>
          <w:tcPr>
            <w:tcW w:w="1620" w:type="dxa"/>
          </w:tcPr>
          <w:p w14:paraId="49D76D00" w14:textId="578F8EB0" w:rsidR="00B47306" w:rsidRDefault="00B47306" w:rsidP="00FF098A">
            <w:pPr>
              <w:jc w:val="right"/>
              <w:rPr>
                <w:rFonts w:ascii="Arial" w:eastAsia="Arial" w:hAnsi="Arial" w:cs="Arial"/>
                <w:color w:val="000000" w:themeColor="text1"/>
              </w:rPr>
            </w:pPr>
            <w:r w:rsidRPr="3793F3F7">
              <w:rPr>
                <w:rFonts w:ascii="Arial" w:eastAsia="Arial" w:hAnsi="Arial" w:cs="Arial"/>
                <w:color w:val="000000" w:themeColor="text1"/>
              </w:rPr>
              <w:t xml:space="preserve">15,751 </w:t>
            </w:r>
          </w:p>
        </w:tc>
        <w:tc>
          <w:tcPr>
            <w:tcW w:w="1620" w:type="dxa"/>
          </w:tcPr>
          <w:p w14:paraId="4348B9DA" w14:textId="7E65E92A" w:rsidR="00B47306" w:rsidRDefault="00B47306" w:rsidP="00FF098A">
            <w:pPr>
              <w:jc w:val="right"/>
              <w:rPr>
                <w:rFonts w:ascii="Arial" w:eastAsia="Arial" w:hAnsi="Arial" w:cs="Arial"/>
                <w:color w:val="000000" w:themeColor="text1"/>
              </w:rPr>
            </w:pPr>
            <w:r w:rsidRPr="3793F3F7">
              <w:rPr>
                <w:rFonts w:ascii="Arial" w:eastAsia="Arial" w:hAnsi="Arial" w:cs="Arial"/>
                <w:color w:val="000000" w:themeColor="text1"/>
              </w:rPr>
              <w:t xml:space="preserve">25,698 </w:t>
            </w:r>
          </w:p>
        </w:tc>
        <w:tc>
          <w:tcPr>
            <w:tcW w:w="1620" w:type="dxa"/>
          </w:tcPr>
          <w:p w14:paraId="485B6653" w14:textId="41F8CDFB" w:rsidR="00B47306" w:rsidRDefault="00B63F5A" w:rsidP="00FF098A">
            <w:pPr>
              <w:jc w:val="right"/>
              <w:rPr>
                <w:rFonts w:ascii="Arial" w:eastAsia="Arial" w:hAnsi="Arial" w:cs="Arial"/>
                <w:color w:val="000000" w:themeColor="text1"/>
              </w:rPr>
            </w:pPr>
            <w:r w:rsidRPr="009C500C">
              <w:rPr>
                <w:rFonts w:ascii="Arial" w:eastAsia="Arial" w:hAnsi="Arial" w:cs="Arial"/>
                <w:color w:val="000000" w:themeColor="text1"/>
              </w:rPr>
              <w:t>38</w:t>
            </w:r>
            <w:r w:rsidR="00B47306" w:rsidRPr="3793F3F7">
              <w:rPr>
                <w:rFonts w:ascii="Arial" w:eastAsia="Arial" w:hAnsi="Arial" w:cs="Arial"/>
                <w:color w:val="000000" w:themeColor="text1"/>
              </w:rPr>
              <w:t xml:space="preserve">,464 </w:t>
            </w:r>
          </w:p>
        </w:tc>
        <w:tc>
          <w:tcPr>
            <w:tcW w:w="1620" w:type="dxa"/>
          </w:tcPr>
          <w:p w14:paraId="7AF619F9" w14:textId="3A4372E5" w:rsidR="00B47306" w:rsidRDefault="00B47306" w:rsidP="00FF098A">
            <w:pPr>
              <w:jc w:val="right"/>
              <w:rPr>
                <w:rFonts w:ascii="Arial" w:eastAsia="Arial" w:hAnsi="Arial" w:cs="Arial"/>
                <w:color w:val="000000" w:themeColor="text1"/>
              </w:rPr>
            </w:pPr>
            <w:r w:rsidRPr="3793F3F7">
              <w:rPr>
                <w:rFonts w:ascii="Arial" w:eastAsia="Arial" w:hAnsi="Arial" w:cs="Arial"/>
                <w:color w:val="000000" w:themeColor="text1"/>
              </w:rPr>
              <w:t xml:space="preserve">60,426 </w:t>
            </w:r>
          </w:p>
        </w:tc>
        <w:tc>
          <w:tcPr>
            <w:tcW w:w="1710" w:type="dxa"/>
          </w:tcPr>
          <w:p w14:paraId="56799BC2" w14:textId="452E3BA7" w:rsidR="00B47306" w:rsidRPr="004B3B6B" w:rsidRDefault="00B47306" w:rsidP="00FF098A">
            <w:pPr>
              <w:jc w:val="right"/>
              <w:rPr>
                <w:rFonts w:ascii="Arial" w:eastAsia="Arial" w:hAnsi="Arial" w:cs="Arial"/>
                <w:b/>
                <w:color w:val="000000" w:themeColor="text1"/>
              </w:rPr>
            </w:pPr>
            <w:r w:rsidRPr="004B3B6B">
              <w:rPr>
                <w:rFonts w:ascii="Arial" w:eastAsia="Arial" w:hAnsi="Arial" w:cs="Arial"/>
                <w:b/>
                <w:color w:val="000000" w:themeColor="text1"/>
              </w:rPr>
              <w:t xml:space="preserve">140,339 </w:t>
            </w:r>
          </w:p>
        </w:tc>
      </w:tr>
      <w:tr w:rsidR="00B47306" w14:paraId="66C40FDB" w14:textId="77777777" w:rsidTr="00FF098A">
        <w:trPr>
          <w:trHeight w:val="300"/>
          <w:jc w:val="center"/>
        </w:trPr>
        <w:tc>
          <w:tcPr>
            <w:tcW w:w="1525" w:type="dxa"/>
          </w:tcPr>
          <w:p w14:paraId="3660159E" w14:textId="77777777" w:rsidR="00B47306" w:rsidRDefault="00B47306" w:rsidP="00FF098A">
            <w:pPr>
              <w:jc w:val="right"/>
              <w:rPr>
                <w:color w:val="000000" w:themeColor="text1"/>
              </w:rPr>
            </w:pPr>
            <w:r w:rsidRPr="3793F3F7">
              <w:rPr>
                <w:rFonts w:ascii="Arial" w:eastAsia="Arial" w:hAnsi="Arial" w:cs="Arial"/>
                <w:color w:val="000000" w:themeColor="text1"/>
              </w:rPr>
              <w:t>2019–2020</w:t>
            </w:r>
          </w:p>
        </w:tc>
        <w:tc>
          <w:tcPr>
            <w:tcW w:w="1620" w:type="dxa"/>
          </w:tcPr>
          <w:p w14:paraId="664EE53E" w14:textId="16B750A0" w:rsidR="00B47306" w:rsidRDefault="00B47306" w:rsidP="00FF098A">
            <w:pPr>
              <w:jc w:val="right"/>
              <w:rPr>
                <w:rFonts w:ascii="Arial" w:eastAsia="Arial" w:hAnsi="Arial" w:cs="Arial"/>
                <w:color w:val="000000" w:themeColor="text1"/>
              </w:rPr>
            </w:pPr>
            <w:r w:rsidRPr="3793F3F7">
              <w:rPr>
                <w:rFonts w:ascii="Arial" w:eastAsia="Arial" w:hAnsi="Arial" w:cs="Arial"/>
                <w:color w:val="000000" w:themeColor="text1"/>
              </w:rPr>
              <w:t xml:space="preserve">17,925 </w:t>
            </w:r>
          </w:p>
        </w:tc>
        <w:tc>
          <w:tcPr>
            <w:tcW w:w="1620" w:type="dxa"/>
          </w:tcPr>
          <w:p w14:paraId="27F521C3" w14:textId="5EE3152B" w:rsidR="00B47306" w:rsidRDefault="00B47306" w:rsidP="00FF098A">
            <w:pPr>
              <w:jc w:val="right"/>
              <w:rPr>
                <w:rFonts w:ascii="Arial" w:eastAsia="Arial" w:hAnsi="Arial" w:cs="Arial"/>
                <w:color w:val="000000" w:themeColor="text1"/>
              </w:rPr>
            </w:pPr>
            <w:r w:rsidRPr="3793F3F7">
              <w:rPr>
                <w:rFonts w:ascii="Arial" w:eastAsia="Arial" w:hAnsi="Arial" w:cs="Arial"/>
                <w:color w:val="000000" w:themeColor="text1"/>
              </w:rPr>
              <w:t xml:space="preserve">27,046 </w:t>
            </w:r>
          </w:p>
        </w:tc>
        <w:tc>
          <w:tcPr>
            <w:tcW w:w="1620" w:type="dxa"/>
          </w:tcPr>
          <w:p w14:paraId="6DBE069B" w14:textId="2BCE4C2C" w:rsidR="00B47306" w:rsidRDefault="00B47306" w:rsidP="00FF098A">
            <w:pPr>
              <w:jc w:val="right"/>
              <w:rPr>
                <w:rFonts w:ascii="Arial" w:eastAsia="Arial" w:hAnsi="Arial" w:cs="Arial"/>
                <w:color w:val="000000" w:themeColor="text1"/>
              </w:rPr>
            </w:pPr>
            <w:r w:rsidRPr="3793F3F7">
              <w:rPr>
                <w:rFonts w:ascii="Arial" w:eastAsia="Arial" w:hAnsi="Arial" w:cs="Arial"/>
                <w:color w:val="000000" w:themeColor="text1"/>
              </w:rPr>
              <w:t xml:space="preserve">37,436 </w:t>
            </w:r>
          </w:p>
        </w:tc>
        <w:tc>
          <w:tcPr>
            <w:tcW w:w="1620" w:type="dxa"/>
          </w:tcPr>
          <w:p w14:paraId="3EE075D9" w14:textId="244D0848" w:rsidR="00B47306" w:rsidRDefault="00B47306" w:rsidP="00FF098A">
            <w:pPr>
              <w:jc w:val="right"/>
              <w:rPr>
                <w:rFonts w:ascii="Arial" w:eastAsia="Arial" w:hAnsi="Arial" w:cs="Arial"/>
                <w:color w:val="000000" w:themeColor="text1"/>
              </w:rPr>
            </w:pPr>
            <w:r w:rsidRPr="3793F3F7">
              <w:rPr>
                <w:rFonts w:ascii="Arial" w:eastAsia="Arial" w:hAnsi="Arial" w:cs="Arial"/>
                <w:color w:val="000000" w:themeColor="text1"/>
              </w:rPr>
              <w:t xml:space="preserve">56,724 </w:t>
            </w:r>
          </w:p>
        </w:tc>
        <w:tc>
          <w:tcPr>
            <w:tcW w:w="1710" w:type="dxa"/>
          </w:tcPr>
          <w:p w14:paraId="493D9DF9" w14:textId="19B35E45" w:rsidR="00B47306" w:rsidRDefault="00B47306" w:rsidP="00FF098A">
            <w:pPr>
              <w:jc w:val="right"/>
              <w:rPr>
                <w:rFonts w:ascii="Arial" w:eastAsia="Arial" w:hAnsi="Arial" w:cs="Arial"/>
                <w:color w:val="000000" w:themeColor="text1"/>
              </w:rPr>
            </w:pPr>
            <w:r w:rsidRPr="3793F3F7">
              <w:rPr>
                <w:rFonts w:ascii="Arial" w:eastAsia="Arial" w:hAnsi="Arial" w:cs="Arial"/>
                <w:b/>
                <w:bCs/>
                <w:color w:val="000000" w:themeColor="text1"/>
              </w:rPr>
              <w:t>139,131</w:t>
            </w:r>
            <w:r w:rsidRPr="3793F3F7">
              <w:rPr>
                <w:rFonts w:ascii="Arial" w:eastAsia="Arial" w:hAnsi="Arial" w:cs="Arial"/>
                <w:color w:val="000000" w:themeColor="text1"/>
              </w:rPr>
              <w:t xml:space="preserve"> </w:t>
            </w:r>
          </w:p>
        </w:tc>
      </w:tr>
    </w:tbl>
    <w:p w14:paraId="3A0FF5F2" w14:textId="77777777" w:rsidR="00B47306" w:rsidRDefault="00B47306" w:rsidP="00B47306">
      <w:pPr>
        <w:rPr>
          <w:rFonts w:ascii="Arial" w:eastAsia="Arial" w:hAnsi="Arial" w:cs="Arial"/>
          <w:color w:val="1F497D"/>
        </w:rPr>
      </w:pPr>
    </w:p>
    <w:p w14:paraId="15C62416" w14:textId="77777777" w:rsidR="00B47306" w:rsidRDefault="00B47306" w:rsidP="00B47306">
      <w:pPr>
        <w:spacing w:line="257" w:lineRule="exact"/>
        <w:rPr>
          <w:rFonts w:ascii="Arial" w:eastAsia="Arial" w:hAnsi="Arial" w:cs="Arial"/>
        </w:rPr>
      </w:pPr>
      <w:r w:rsidRPr="3793F3F7">
        <w:rPr>
          <w:rFonts w:ascii="Arial" w:eastAsia="Arial" w:hAnsi="Arial" w:cs="Arial"/>
        </w:rPr>
        <w:t>However, the largest increase i</w:t>
      </w:r>
      <w:r>
        <w:rPr>
          <w:rFonts w:ascii="Arial" w:eastAsia="Arial" w:hAnsi="Arial" w:cs="Arial"/>
        </w:rPr>
        <w:t>n DASS students occurs</w:t>
      </w:r>
      <w:r w:rsidRPr="3793F3F7">
        <w:rPr>
          <w:rFonts w:ascii="Arial" w:eastAsia="Arial" w:hAnsi="Arial" w:cs="Arial"/>
        </w:rPr>
        <w:t xml:space="preserve"> in G</w:t>
      </w:r>
      <w:r>
        <w:rPr>
          <w:rFonts w:ascii="Arial" w:eastAsia="Arial" w:hAnsi="Arial" w:cs="Arial"/>
        </w:rPr>
        <w:t>rade 10. The</w:t>
      </w:r>
      <w:r w:rsidRPr="3793F3F7">
        <w:rPr>
          <w:rFonts w:ascii="Arial" w:eastAsia="Arial" w:hAnsi="Arial" w:cs="Arial"/>
        </w:rPr>
        <w:t xml:space="preserve"> number of Grade 12 students in DASS schools has actually declined, </w:t>
      </w:r>
      <w:r>
        <w:rPr>
          <w:rFonts w:ascii="Arial" w:eastAsia="Arial" w:hAnsi="Arial" w:cs="Arial"/>
        </w:rPr>
        <w:t xml:space="preserve">which </w:t>
      </w:r>
      <w:r w:rsidRPr="3793F3F7">
        <w:rPr>
          <w:rFonts w:ascii="Arial" w:eastAsia="Arial" w:hAnsi="Arial" w:cs="Arial"/>
        </w:rPr>
        <w:t xml:space="preserve">indicates that </w:t>
      </w:r>
      <w:r w:rsidRPr="3793F3F7">
        <w:rPr>
          <w:rFonts w:ascii="Arial" w:eastAsia="Arial" w:hAnsi="Arial" w:cs="Arial"/>
        </w:rPr>
        <w:lastRenderedPageBreak/>
        <w:t>implementation of the DASS graduation rate has not led to a significant increase in student transfers from non-alternative hig</w:t>
      </w:r>
      <w:r>
        <w:rPr>
          <w:rFonts w:ascii="Arial" w:eastAsia="Arial" w:hAnsi="Arial" w:cs="Arial"/>
        </w:rPr>
        <w:t>h schools to DASS high schools</w:t>
      </w:r>
      <w:r w:rsidRPr="3793F3F7">
        <w:rPr>
          <w:rFonts w:ascii="Arial" w:eastAsia="Arial" w:hAnsi="Arial" w:cs="Arial"/>
        </w:rPr>
        <w:t xml:space="preserve">. If </w:t>
      </w:r>
      <w:bookmarkStart w:id="1" w:name="_GoBack"/>
      <w:bookmarkEnd w:id="1"/>
      <w:r w:rsidRPr="3793F3F7">
        <w:rPr>
          <w:rFonts w:ascii="Arial" w:eastAsia="Arial" w:hAnsi="Arial" w:cs="Arial"/>
        </w:rPr>
        <w:t xml:space="preserve">we look at the percentage of DASS high school students that make up the total high school </w:t>
      </w:r>
      <w:r>
        <w:rPr>
          <w:rFonts w:ascii="Arial" w:eastAsia="Arial" w:hAnsi="Arial" w:cs="Arial"/>
        </w:rPr>
        <w:t>enrollment (using data from Tables 6 and 7</w:t>
      </w:r>
      <w:r w:rsidRPr="3793F3F7">
        <w:rPr>
          <w:rFonts w:ascii="Arial" w:eastAsia="Arial" w:hAnsi="Arial" w:cs="Arial"/>
        </w:rPr>
        <w:t xml:space="preserve">), we see little </w:t>
      </w:r>
      <w:r>
        <w:rPr>
          <w:rFonts w:ascii="Arial" w:eastAsia="Arial" w:hAnsi="Arial" w:cs="Arial"/>
        </w:rPr>
        <w:t>movement:</w:t>
      </w:r>
    </w:p>
    <w:p w14:paraId="5630AD66" w14:textId="77777777" w:rsidR="00B47306" w:rsidRDefault="00B47306" w:rsidP="00B47306">
      <w:pPr>
        <w:spacing w:line="257" w:lineRule="exact"/>
        <w:rPr>
          <w:rFonts w:ascii="Arial" w:eastAsia="Arial" w:hAnsi="Arial" w:cs="Arial"/>
        </w:rPr>
      </w:pPr>
    </w:p>
    <w:p w14:paraId="2972893E" w14:textId="77777777" w:rsidR="00B47306" w:rsidRDefault="00B47306" w:rsidP="00B47306">
      <w:pPr>
        <w:pStyle w:val="ListParagraph"/>
        <w:numPr>
          <w:ilvl w:val="0"/>
          <w:numId w:val="1"/>
        </w:numPr>
        <w:spacing w:line="257" w:lineRule="exact"/>
        <w:rPr>
          <w:rFonts w:ascii="Arial" w:eastAsia="Arial" w:hAnsi="Arial" w:cs="Arial"/>
          <w:color w:val="000000" w:themeColor="text1"/>
          <w:sz w:val="24"/>
          <w:szCs w:val="24"/>
        </w:rPr>
      </w:pPr>
      <w:r w:rsidRPr="3793F3F7">
        <w:rPr>
          <w:rFonts w:ascii="Arial" w:eastAsia="Arial" w:hAnsi="Arial" w:cs="Arial"/>
          <w:sz w:val="24"/>
          <w:szCs w:val="24"/>
        </w:rPr>
        <w:t>In 2017–18, 0.069 percent of all high school students attended DASS schools.</w:t>
      </w:r>
    </w:p>
    <w:p w14:paraId="46496FAD" w14:textId="77777777" w:rsidR="00B47306" w:rsidRDefault="00B47306" w:rsidP="00B47306">
      <w:pPr>
        <w:pStyle w:val="ListParagraph"/>
        <w:numPr>
          <w:ilvl w:val="0"/>
          <w:numId w:val="1"/>
        </w:numPr>
        <w:spacing w:line="257" w:lineRule="exact"/>
        <w:rPr>
          <w:rFonts w:ascii="Arial" w:eastAsia="Arial" w:hAnsi="Arial" w:cs="Arial"/>
          <w:color w:val="000000" w:themeColor="text1"/>
          <w:sz w:val="24"/>
          <w:szCs w:val="24"/>
        </w:rPr>
      </w:pPr>
      <w:r w:rsidRPr="3793F3F7">
        <w:rPr>
          <w:rFonts w:ascii="Arial" w:eastAsia="Arial" w:hAnsi="Arial" w:cs="Arial"/>
          <w:sz w:val="24"/>
          <w:szCs w:val="24"/>
        </w:rPr>
        <w:t>In 2018–19, 0.072 percent of all high school students attended DASS schools.</w:t>
      </w:r>
    </w:p>
    <w:p w14:paraId="14131D13" w14:textId="77777777" w:rsidR="00B47306" w:rsidRDefault="00B47306" w:rsidP="00B47306">
      <w:pPr>
        <w:pStyle w:val="ListParagraph"/>
        <w:numPr>
          <w:ilvl w:val="0"/>
          <w:numId w:val="1"/>
        </w:numPr>
        <w:spacing w:line="257" w:lineRule="exact"/>
        <w:rPr>
          <w:rFonts w:ascii="Arial" w:eastAsia="Arial" w:hAnsi="Arial" w:cs="Arial"/>
          <w:color w:val="000000" w:themeColor="text1"/>
          <w:sz w:val="24"/>
          <w:szCs w:val="24"/>
        </w:rPr>
      </w:pPr>
      <w:r w:rsidRPr="3793F3F7">
        <w:rPr>
          <w:rFonts w:ascii="Arial" w:eastAsia="Arial" w:hAnsi="Arial" w:cs="Arial"/>
          <w:sz w:val="24"/>
          <w:szCs w:val="24"/>
        </w:rPr>
        <w:t>In 2019–20, 0.072 percent of all high school students attended DASS schools.</w:t>
      </w:r>
    </w:p>
    <w:p w14:paraId="61829076" w14:textId="77777777" w:rsidR="00B47306" w:rsidRDefault="00B47306" w:rsidP="00B47306">
      <w:pPr>
        <w:rPr>
          <w:rFonts w:ascii="Arial" w:eastAsia="Arial" w:hAnsi="Arial" w:cs="Arial"/>
          <w:color w:val="000000" w:themeColor="text1"/>
        </w:rPr>
      </w:pPr>
    </w:p>
    <w:p w14:paraId="04F0D5BC" w14:textId="05C6CF08" w:rsidR="00B47306" w:rsidRDefault="00B47306" w:rsidP="00B47306">
      <w:pPr>
        <w:rPr>
          <w:color w:val="000000" w:themeColor="text1"/>
        </w:rPr>
      </w:pPr>
      <w:r w:rsidRPr="3793F3F7">
        <w:rPr>
          <w:rFonts w:ascii="Arial" w:eastAsia="Arial" w:hAnsi="Arial" w:cs="Arial"/>
          <w:color w:val="000000" w:themeColor="text1"/>
        </w:rPr>
        <w:t>Overall, trend data in student transfers remained relatively stable from 2017</w:t>
      </w:r>
      <w:r w:rsidRPr="3793F3F7">
        <w:rPr>
          <w:rFonts w:ascii="Arial" w:eastAsia="Arial" w:hAnsi="Arial" w:cs="Arial"/>
        </w:rPr>
        <w:t>–</w:t>
      </w:r>
      <w:r w:rsidRPr="3793F3F7">
        <w:rPr>
          <w:rFonts w:ascii="Arial" w:eastAsia="Arial" w:hAnsi="Arial" w:cs="Arial"/>
          <w:color w:val="000000" w:themeColor="text1"/>
        </w:rPr>
        <w:t>18 through 2019</w:t>
      </w:r>
      <w:r w:rsidRPr="3793F3F7">
        <w:rPr>
          <w:rFonts w:ascii="Arial" w:eastAsia="Arial" w:hAnsi="Arial" w:cs="Arial"/>
        </w:rPr>
        <w:t>–</w:t>
      </w:r>
      <w:r w:rsidRPr="3793F3F7">
        <w:rPr>
          <w:rFonts w:ascii="Arial" w:eastAsia="Arial" w:hAnsi="Arial" w:cs="Arial"/>
          <w:color w:val="000000" w:themeColor="text1"/>
        </w:rPr>
        <w:t>20 (barring the months immediately following the C</w:t>
      </w:r>
      <w:r w:rsidR="008F2004">
        <w:rPr>
          <w:rFonts w:ascii="Arial" w:eastAsia="Arial" w:hAnsi="Arial" w:cs="Arial"/>
          <w:color w:val="000000" w:themeColor="text1"/>
        </w:rPr>
        <w:t>OVID</w:t>
      </w:r>
      <w:r w:rsidRPr="3793F3F7">
        <w:rPr>
          <w:rFonts w:ascii="Arial" w:eastAsia="Arial" w:hAnsi="Arial" w:cs="Arial"/>
          <w:color w:val="000000" w:themeColor="text1"/>
        </w:rPr>
        <w:t>-19 school closures). This analysis indicates that the DASS graduation rates have not significantly impacted student transfers from non-alternative high schools to DASS high schools.</w:t>
      </w:r>
      <w:r w:rsidR="00B63F5A">
        <w:rPr>
          <w:rFonts w:ascii="Arial" w:eastAsia="Arial" w:hAnsi="Arial" w:cs="Arial"/>
          <w:color w:val="000000" w:themeColor="text1"/>
        </w:rPr>
        <w:t xml:space="preserve"> Therefore, at this time, it is not necessary to make any changes to</w:t>
      </w:r>
      <w:r w:rsidR="00AC6B06">
        <w:rPr>
          <w:rFonts w:ascii="Arial" w:eastAsia="Arial" w:hAnsi="Arial" w:cs="Arial"/>
          <w:color w:val="000000" w:themeColor="text1"/>
        </w:rPr>
        <w:t xml:space="preserve"> the </w:t>
      </w:r>
      <w:r w:rsidR="00B63F5A">
        <w:rPr>
          <w:rFonts w:ascii="Arial" w:eastAsia="Arial" w:hAnsi="Arial" w:cs="Arial"/>
          <w:color w:val="000000" w:themeColor="text1"/>
        </w:rPr>
        <w:t>calculat</w:t>
      </w:r>
      <w:r w:rsidR="00AC6B06">
        <w:rPr>
          <w:rFonts w:ascii="Arial" w:eastAsia="Arial" w:hAnsi="Arial" w:cs="Arial"/>
          <w:color w:val="000000" w:themeColor="text1"/>
        </w:rPr>
        <w:t>ion of</w:t>
      </w:r>
      <w:r w:rsidR="00B63F5A">
        <w:rPr>
          <w:rFonts w:ascii="Arial" w:eastAsia="Arial" w:hAnsi="Arial" w:cs="Arial"/>
          <w:color w:val="000000" w:themeColor="text1"/>
        </w:rPr>
        <w:t xml:space="preserve"> the DASS graduation rate. </w:t>
      </w:r>
    </w:p>
    <w:p w14:paraId="2BA226A1" w14:textId="77777777" w:rsidR="00FF098A" w:rsidRDefault="00FF098A"/>
    <w:sectPr w:rsidR="00FF098A" w:rsidSect="008B28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BBD97" w14:textId="77777777" w:rsidR="00184C4F" w:rsidRDefault="00184C4F" w:rsidP="00B47306">
      <w:r>
        <w:separator/>
      </w:r>
    </w:p>
  </w:endnote>
  <w:endnote w:type="continuationSeparator" w:id="0">
    <w:p w14:paraId="3DEFD0B2" w14:textId="77777777" w:rsidR="00184C4F" w:rsidRDefault="00184C4F" w:rsidP="00B47306">
      <w:r>
        <w:continuationSeparator/>
      </w:r>
    </w:p>
  </w:endnote>
  <w:endnote w:type="continuationNotice" w:id="1">
    <w:p w14:paraId="1A067C09" w14:textId="77777777" w:rsidR="00485BA5" w:rsidRDefault="00485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ayout w:type="fixed"/>
      <w:tblLook w:val="06A0" w:firstRow="1" w:lastRow="0" w:firstColumn="1" w:lastColumn="0" w:noHBand="1" w:noVBand="1"/>
    </w:tblPr>
    <w:tblGrid>
      <w:gridCol w:w="3120"/>
      <w:gridCol w:w="3120"/>
      <w:gridCol w:w="3120"/>
    </w:tblGrid>
    <w:tr w:rsidR="00184C4F" w14:paraId="17AD93B2" w14:textId="77777777" w:rsidTr="008D4BEA">
      <w:tc>
        <w:tcPr>
          <w:tcW w:w="3120" w:type="dxa"/>
        </w:tcPr>
        <w:p w14:paraId="0DE4B5B7" w14:textId="77777777" w:rsidR="00184C4F" w:rsidRDefault="00184C4F" w:rsidP="00FF098A">
          <w:pPr>
            <w:pStyle w:val="Header"/>
            <w:ind w:left="-115"/>
          </w:pPr>
        </w:p>
      </w:tc>
      <w:tc>
        <w:tcPr>
          <w:tcW w:w="3120" w:type="dxa"/>
        </w:tcPr>
        <w:p w14:paraId="66204FF1" w14:textId="77777777" w:rsidR="00184C4F" w:rsidRDefault="00184C4F" w:rsidP="00FF098A">
          <w:pPr>
            <w:pStyle w:val="Header"/>
            <w:jc w:val="center"/>
          </w:pPr>
        </w:p>
      </w:tc>
      <w:tc>
        <w:tcPr>
          <w:tcW w:w="3120" w:type="dxa"/>
        </w:tcPr>
        <w:p w14:paraId="2DBF0D7D" w14:textId="77777777" w:rsidR="00184C4F" w:rsidRDefault="00184C4F" w:rsidP="00FF098A">
          <w:pPr>
            <w:pStyle w:val="Header"/>
            <w:ind w:right="-115"/>
            <w:jc w:val="right"/>
          </w:pPr>
        </w:p>
      </w:tc>
    </w:tr>
  </w:tbl>
  <w:p w14:paraId="6B62F1B3" w14:textId="77777777" w:rsidR="00184C4F" w:rsidRDefault="00184C4F" w:rsidP="00FF0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1C98" w14:textId="77777777" w:rsidR="00184C4F" w:rsidRDefault="00184C4F" w:rsidP="00FF0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C34E" w14:textId="77777777" w:rsidR="00184C4F" w:rsidRPr="00A72481" w:rsidRDefault="00184C4F" w:rsidP="00FF0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9731" w14:textId="77777777" w:rsidR="00184C4F" w:rsidRDefault="00184C4F" w:rsidP="00B47306">
      <w:r>
        <w:separator/>
      </w:r>
    </w:p>
  </w:footnote>
  <w:footnote w:type="continuationSeparator" w:id="0">
    <w:p w14:paraId="4C8CBE17" w14:textId="77777777" w:rsidR="00184C4F" w:rsidRDefault="00184C4F" w:rsidP="00B47306">
      <w:r>
        <w:continuationSeparator/>
      </w:r>
    </w:p>
  </w:footnote>
  <w:footnote w:type="continuationNotice" w:id="1">
    <w:p w14:paraId="7B06DB62" w14:textId="77777777" w:rsidR="00485BA5" w:rsidRDefault="00485B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D016" w14:textId="77777777" w:rsidR="00184C4F" w:rsidRDefault="00184C4F" w:rsidP="00FF098A">
    <w:pPr>
      <w:pStyle w:val="Header"/>
      <w:jc w:val="right"/>
    </w:pPr>
    <w:r>
      <w:t>memo-pptb-amard-feb18item03</w:t>
    </w:r>
  </w:p>
  <w:p w14:paraId="57E17F72" w14:textId="77777777" w:rsidR="00184C4F" w:rsidRDefault="00184C4F" w:rsidP="00FF098A">
    <w:pPr>
      <w:pStyle w:val="Header"/>
      <w:spacing w:after="480"/>
      <w:jc w:val="right"/>
    </w:pPr>
    <w:r>
      <w:t xml:space="preserve">Page </w:t>
    </w:r>
    <w:r>
      <w:fldChar w:fldCharType="begin"/>
    </w:r>
    <w:r>
      <w:instrText xml:space="preserve"> PAGE   \* MERGEFORMAT </w:instrText>
    </w:r>
    <w:r>
      <w:fldChar w:fldCharType="separate"/>
    </w:r>
    <w:r>
      <w:rPr>
        <w:noProof/>
      </w:rPr>
      <w:t>3</w:t>
    </w:r>
    <w:r>
      <w:rPr>
        <w:noProof/>
      </w:rPr>
      <w:fldChar w:fldCharType="end"/>
    </w:r>
    <w:r>
      <w:rPr>
        <w:noProof/>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402D" w14:textId="7536393C" w:rsidR="00184C4F" w:rsidRPr="00AD5AA4" w:rsidRDefault="00184C4F" w:rsidP="00FF098A">
    <w:pPr>
      <w:pStyle w:val="Header"/>
      <w:jc w:val="right"/>
      <w:rPr>
        <w:rFonts w:cs="Arial"/>
        <w:szCs w:val="18"/>
      </w:rPr>
    </w:pPr>
    <w:r w:rsidRPr="00AD5AA4">
      <w:rPr>
        <w:rFonts w:cs="Arial"/>
        <w:szCs w:val="18"/>
      </w:rPr>
      <w:t>m</w:t>
    </w:r>
    <w:r>
      <w:rPr>
        <w:rFonts w:cs="Arial"/>
        <w:szCs w:val="18"/>
      </w:rPr>
      <w:t>emo-imb-amard-apri21item01</w:t>
    </w:r>
  </w:p>
  <w:p w14:paraId="4074EF35" w14:textId="77777777" w:rsidR="00184C4F" w:rsidRPr="00AD5AA4" w:rsidRDefault="00184C4F" w:rsidP="00FF098A">
    <w:pPr>
      <w:pStyle w:val="Header"/>
      <w:spacing w:after="480"/>
      <w:jc w:val="right"/>
      <w:rPr>
        <w:sz w:val="28"/>
      </w:rPr>
    </w:pPr>
    <w:r w:rsidRPr="00AD5AA4">
      <w:rPr>
        <w:rFonts w:cs="Arial"/>
        <w:szCs w:val="18"/>
      </w:rPr>
      <w:t xml:space="preserve">Page </w:t>
    </w:r>
    <w:r w:rsidRPr="00AD5AA4">
      <w:rPr>
        <w:rFonts w:cs="Arial"/>
        <w:szCs w:val="18"/>
      </w:rPr>
      <w:fldChar w:fldCharType="begin"/>
    </w:r>
    <w:r w:rsidRPr="00AD5AA4">
      <w:rPr>
        <w:rFonts w:cs="Arial"/>
        <w:szCs w:val="18"/>
      </w:rPr>
      <w:instrText xml:space="preserve"> PAGE   \* MERGEFORMAT </w:instrText>
    </w:r>
    <w:r w:rsidRPr="00AD5AA4">
      <w:rPr>
        <w:rFonts w:cs="Arial"/>
        <w:szCs w:val="18"/>
      </w:rPr>
      <w:fldChar w:fldCharType="separate"/>
    </w:r>
    <w:r>
      <w:rPr>
        <w:rFonts w:cs="Arial"/>
        <w:noProof/>
        <w:szCs w:val="18"/>
      </w:rPr>
      <w:t>4</w:t>
    </w:r>
    <w:r w:rsidRPr="00AD5AA4">
      <w:rPr>
        <w:rFonts w:cs="Arial"/>
        <w:noProof/>
        <w:szCs w:val="18"/>
      </w:rPr>
      <w:fldChar w:fldCharType="end"/>
    </w:r>
    <w:r w:rsidRPr="00AD5AA4">
      <w:rPr>
        <w:rFonts w:cs="Arial"/>
        <w:szCs w:val="18"/>
      </w:rPr>
      <w:t xml:space="preserve"> </w:t>
    </w:r>
    <w:r>
      <w:rPr>
        <w:rFonts w:cs="Arial"/>
        <w:noProof/>
        <w:szCs w:val="18"/>
      </w:rPr>
      <w:t>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F8D3" w14:textId="77777777" w:rsidR="00184C4F" w:rsidRDefault="00184C4F" w:rsidP="00FF098A">
    <w:pPr>
      <w:pStyle w:val="Header"/>
      <w:jc w:val="right"/>
      <w:rPr>
        <w:rFonts w:cs="Arial"/>
        <w:sz w:val="18"/>
        <w:szCs w:val="18"/>
      </w:rPr>
    </w:pPr>
    <w:r>
      <w:rPr>
        <w:rFonts w:cs="Arial"/>
        <w:sz w:val="18"/>
        <w:szCs w:val="18"/>
      </w:rPr>
      <w:t>memo-ppt-amard-sep17item02</w:t>
    </w:r>
  </w:p>
  <w:p w14:paraId="31F53320" w14:textId="77777777" w:rsidR="00184C4F" w:rsidRDefault="00184C4F" w:rsidP="00FF098A">
    <w:pPr>
      <w:pStyle w:val="Header"/>
      <w:jc w:val="right"/>
      <w:rPr>
        <w:rFonts w:cs="Arial"/>
        <w:sz w:val="18"/>
        <w:szCs w:val="18"/>
      </w:rPr>
    </w:pPr>
    <w:r>
      <w:rPr>
        <w:rFonts w:cs="Arial"/>
        <w:sz w:val="18"/>
        <w:szCs w:val="18"/>
      </w:rPr>
      <w:t xml:space="preserve">Attachment 1 </w:t>
    </w:r>
  </w:p>
  <w:p w14:paraId="7CC3E329" w14:textId="77777777" w:rsidR="00184C4F" w:rsidRDefault="00184C4F" w:rsidP="00FF098A">
    <w:pPr>
      <w:pStyle w:val="Header"/>
      <w:jc w:val="right"/>
      <w:rPr>
        <w:rFonts w:cs="Arial"/>
        <w:noProof/>
        <w:sz w:val="18"/>
        <w:szCs w:val="18"/>
      </w:rPr>
    </w:pPr>
    <w:r>
      <w:rPr>
        <w:rFonts w:cs="Arial"/>
        <w:sz w:val="18"/>
        <w:szCs w:val="18"/>
      </w:rPr>
      <w:t>Page 1</w:t>
    </w:r>
    <w:r>
      <w:rPr>
        <w:rFonts w:cs="Arial"/>
        <w:noProof/>
        <w:sz w:val="18"/>
        <w:szCs w:val="18"/>
      </w:rPr>
      <w:t xml:space="preserve"> of 2</w:t>
    </w:r>
  </w:p>
  <w:p w14:paraId="769D0D3C" w14:textId="77777777" w:rsidR="00184C4F" w:rsidRDefault="00184C4F" w:rsidP="00FF098A">
    <w:pPr>
      <w:pStyle w:val="Header"/>
      <w:jc w:val="right"/>
      <w:rPr>
        <w:rFonts w:cs="Arial"/>
        <w:noProof/>
        <w:sz w:val="18"/>
        <w:szCs w:val="18"/>
      </w:rPr>
    </w:pPr>
  </w:p>
  <w:p w14:paraId="54CD245A" w14:textId="77777777" w:rsidR="00184C4F" w:rsidRPr="00D43ED2" w:rsidRDefault="00184C4F" w:rsidP="00FF098A">
    <w:pPr>
      <w:pStyle w:val="Header"/>
      <w:jc w:val="right"/>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CC55" w14:textId="64059818" w:rsidR="00184C4F" w:rsidRPr="00F974EB" w:rsidRDefault="00184C4F" w:rsidP="00FF098A">
    <w:pPr>
      <w:pStyle w:val="Header"/>
      <w:jc w:val="right"/>
      <w:rPr>
        <w:rFonts w:cs="Arial"/>
        <w:szCs w:val="18"/>
      </w:rPr>
    </w:pPr>
    <w:r w:rsidRPr="00F974EB">
      <w:rPr>
        <w:rFonts w:cs="Arial"/>
        <w:szCs w:val="18"/>
      </w:rPr>
      <w:t>m</w:t>
    </w:r>
    <w:r>
      <w:rPr>
        <w:rFonts w:cs="Arial"/>
        <w:szCs w:val="18"/>
      </w:rPr>
      <w:t>emo-imb-amard-apr21item01</w:t>
    </w:r>
  </w:p>
  <w:p w14:paraId="24E952A0" w14:textId="77777777" w:rsidR="00184C4F" w:rsidRPr="00F974EB" w:rsidRDefault="00184C4F" w:rsidP="00FF098A">
    <w:pPr>
      <w:pStyle w:val="Header"/>
      <w:jc w:val="right"/>
      <w:rPr>
        <w:rFonts w:cs="Arial"/>
        <w:szCs w:val="18"/>
      </w:rPr>
    </w:pPr>
    <w:r w:rsidRPr="00F974EB">
      <w:rPr>
        <w:rFonts w:cs="Arial"/>
        <w:szCs w:val="18"/>
      </w:rPr>
      <w:t>Attachment 1</w:t>
    </w:r>
  </w:p>
  <w:p w14:paraId="2F2B1E77" w14:textId="243C7C92" w:rsidR="00786870" w:rsidRPr="00F974EB" w:rsidRDefault="00184C4F" w:rsidP="00786870">
    <w:pPr>
      <w:pStyle w:val="Header"/>
      <w:spacing w:after="240"/>
      <w:jc w:val="right"/>
      <w:rPr>
        <w:rFonts w:cs="Arial"/>
        <w:noProof/>
        <w:szCs w:val="18"/>
      </w:rPr>
    </w:pPr>
    <w:r w:rsidRPr="00F974EB">
      <w:rPr>
        <w:rFonts w:cs="Arial"/>
        <w:szCs w:val="18"/>
      </w:rPr>
      <w:t xml:space="preserve">Page </w:t>
    </w:r>
    <w:r w:rsidRPr="00FF098A">
      <w:rPr>
        <w:rFonts w:cs="Arial"/>
        <w:szCs w:val="18"/>
      </w:rPr>
      <w:fldChar w:fldCharType="begin"/>
    </w:r>
    <w:r w:rsidRPr="00FF098A">
      <w:rPr>
        <w:rFonts w:cs="Arial"/>
        <w:szCs w:val="18"/>
      </w:rPr>
      <w:instrText xml:space="preserve"> PAGE   \* MERGEFORMAT </w:instrText>
    </w:r>
    <w:r w:rsidRPr="00FF098A">
      <w:rPr>
        <w:rFonts w:cs="Arial"/>
        <w:szCs w:val="18"/>
      </w:rPr>
      <w:fldChar w:fldCharType="separate"/>
    </w:r>
    <w:r w:rsidRPr="00FF098A">
      <w:rPr>
        <w:rFonts w:cs="Arial"/>
        <w:noProof/>
        <w:szCs w:val="18"/>
      </w:rPr>
      <w:t>1</w:t>
    </w:r>
    <w:r w:rsidRPr="00FF098A">
      <w:rPr>
        <w:rFonts w:cs="Arial"/>
        <w:noProof/>
        <w:szCs w:val="18"/>
      </w:rPr>
      <w:fldChar w:fldCharType="end"/>
    </w:r>
    <w:r w:rsidRPr="00F974EB">
      <w:rPr>
        <w:rFonts w:cs="Arial"/>
        <w:noProof/>
        <w:szCs w:val="18"/>
      </w:rPr>
      <w:t xml:space="preserve"> of </w:t>
    </w:r>
    <w:r w:rsidR="00786870">
      <w:rPr>
        <w:rFonts w:cs="Arial"/>
        <w:noProof/>
        <w:szCs w:val="18"/>
      </w:rPr>
      <w:t>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F1E8" w14:textId="77777777" w:rsidR="00184C4F" w:rsidRPr="006015E6" w:rsidRDefault="00184C4F" w:rsidP="00FF098A">
    <w:pPr>
      <w:pStyle w:val="Header"/>
      <w:jc w:val="right"/>
      <w:rPr>
        <w:rFonts w:cs="Arial"/>
        <w:szCs w:val="18"/>
      </w:rPr>
    </w:pPr>
    <w:r w:rsidRPr="006015E6">
      <w:rPr>
        <w:rFonts w:cs="Arial"/>
        <w:szCs w:val="18"/>
      </w:rPr>
      <w:t>memo-ppt-amard-aug18item02</w:t>
    </w:r>
  </w:p>
  <w:p w14:paraId="16F12960" w14:textId="77777777" w:rsidR="00184C4F" w:rsidRPr="006015E6" w:rsidRDefault="00184C4F" w:rsidP="00FF098A">
    <w:pPr>
      <w:pStyle w:val="Header"/>
      <w:jc w:val="right"/>
      <w:rPr>
        <w:rFonts w:cs="Arial"/>
        <w:szCs w:val="18"/>
      </w:rPr>
    </w:pPr>
    <w:r w:rsidRPr="006015E6">
      <w:rPr>
        <w:rFonts w:cs="Arial"/>
        <w:szCs w:val="18"/>
      </w:rPr>
      <w:t>Attachment 1</w:t>
    </w:r>
  </w:p>
  <w:p w14:paraId="7EEF445D" w14:textId="77777777" w:rsidR="00184C4F" w:rsidRPr="006015E6" w:rsidRDefault="00184C4F" w:rsidP="00FF098A">
    <w:pPr>
      <w:pStyle w:val="Header"/>
      <w:spacing w:after="240"/>
      <w:jc w:val="right"/>
    </w:pPr>
    <w:r w:rsidRPr="006015E6">
      <w:rPr>
        <w:rFonts w:cs="Arial"/>
        <w:szCs w:val="18"/>
      </w:rPr>
      <w:t xml:space="preserve">Page </w:t>
    </w:r>
    <w:r w:rsidRPr="006015E6">
      <w:rPr>
        <w:rFonts w:cs="Arial"/>
        <w:szCs w:val="18"/>
      </w:rPr>
      <w:fldChar w:fldCharType="begin"/>
    </w:r>
    <w:r w:rsidRPr="006015E6">
      <w:rPr>
        <w:rFonts w:cs="Arial"/>
        <w:szCs w:val="18"/>
      </w:rPr>
      <w:instrText xml:space="preserve"> PAGE   \* MERGEFORMAT </w:instrText>
    </w:r>
    <w:r w:rsidRPr="006015E6">
      <w:rPr>
        <w:rFonts w:cs="Arial"/>
        <w:szCs w:val="18"/>
      </w:rPr>
      <w:fldChar w:fldCharType="separate"/>
    </w:r>
    <w:r>
      <w:rPr>
        <w:rFonts w:cs="Arial"/>
        <w:noProof/>
        <w:szCs w:val="18"/>
      </w:rPr>
      <w:t>2</w:t>
    </w:r>
    <w:r w:rsidRPr="006015E6">
      <w:rPr>
        <w:rFonts w:cs="Arial"/>
        <w:noProof/>
        <w:szCs w:val="18"/>
      </w:rPr>
      <w:fldChar w:fldCharType="end"/>
    </w:r>
    <w:r w:rsidRPr="006015E6">
      <w:rPr>
        <w:rFonts w:cs="Arial"/>
        <w:noProof/>
        <w:szCs w:val="18"/>
      </w:rPr>
      <w:t xml:space="preserve"> of 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72DB" w14:textId="3C3EA12B" w:rsidR="00184C4F" w:rsidRPr="00F974EB" w:rsidRDefault="00184C4F" w:rsidP="00FF098A">
    <w:pPr>
      <w:pStyle w:val="Header"/>
      <w:jc w:val="right"/>
      <w:rPr>
        <w:rFonts w:cs="Arial"/>
        <w:szCs w:val="18"/>
      </w:rPr>
    </w:pPr>
    <w:r w:rsidRPr="00F974EB">
      <w:rPr>
        <w:rFonts w:cs="Arial"/>
        <w:szCs w:val="18"/>
      </w:rPr>
      <w:t>m</w:t>
    </w:r>
    <w:r>
      <w:rPr>
        <w:rFonts w:cs="Arial"/>
        <w:szCs w:val="18"/>
      </w:rPr>
      <w:t>emo-imb-amard-apr21item01</w:t>
    </w:r>
  </w:p>
  <w:p w14:paraId="308F0F7B" w14:textId="77777777" w:rsidR="00184C4F" w:rsidRPr="00F974EB" w:rsidRDefault="00184C4F" w:rsidP="00FF098A">
    <w:pPr>
      <w:pStyle w:val="Header"/>
      <w:jc w:val="right"/>
      <w:rPr>
        <w:rFonts w:cs="Arial"/>
        <w:szCs w:val="18"/>
      </w:rPr>
    </w:pPr>
    <w:r w:rsidRPr="00F974EB">
      <w:rPr>
        <w:rFonts w:cs="Arial"/>
        <w:szCs w:val="18"/>
      </w:rPr>
      <w:t>Attachment 1</w:t>
    </w:r>
  </w:p>
  <w:p w14:paraId="7B51A5F1" w14:textId="132923E1" w:rsidR="00184C4F" w:rsidRPr="00F974EB" w:rsidRDefault="00184C4F" w:rsidP="00FF098A">
    <w:pPr>
      <w:pStyle w:val="Header"/>
      <w:spacing w:after="240"/>
      <w:jc w:val="right"/>
      <w:rPr>
        <w:rFonts w:cs="Arial"/>
        <w:noProof/>
        <w:szCs w:val="18"/>
      </w:rPr>
    </w:pPr>
    <w:r w:rsidRPr="00F974EB">
      <w:rPr>
        <w:rFonts w:cs="Arial"/>
        <w:szCs w:val="18"/>
      </w:rPr>
      <w:t xml:space="preserve">Page </w:t>
    </w:r>
    <w:r w:rsidRPr="00FF098A">
      <w:rPr>
        <w:rFonts w:cs="Arial"/>
        <w:szCs w:val="18"/>
      </w:rPr>
      <w:fldChar w:fldCharType="begin"/>
    </w:r>
    <w:r w:rsidRPr="00FF098A">
      <w:rPr>
        <w:rFonts w:cs="Arial"/>
        <w:szCs w:val="18"/>
      </w:rPr>
      <w:instrText xml:space="preserve"> PAGE   \* MERGEFORMAT </w:instrText>
    </w:r>
    <w:r w:rsidRPr="00FF098A">
      <w:rPr>
        <w:rFonts w:cs="Arial"/>
        <w:szCs w:val="18"/>
      </w:rPr>
      <w:fldChar w:fldCharType="separate"/>
    </w:r>
    <w:r w:rsidRPr="00FF098A">
      <w:rPr>
        <w:rFonts w:cs="Arial"/>
        <w:noProof/>
        <w:szCs w:val="18"/>
      </w:rPr>
      <w:t>1</w:t>
    </w:r>
    <w:r w:rsidRPr="00FF098A">
      <w:rPr>
        <w:rFonts w:cs="Arial"/>
        <w:noProof/>
        <w:szCs w:val="18"/>
      </w:rPr>
      <w:fldChar w:fldCharType="end"/>
    </w:r>
    <w:r w:rsidRPr="00F974EB">
      <w:rPr>
        <w:rFonts w:cs="Arial"/>
        <w:noProof/>
        <w:szCs w:val="18"/>
      </w:rPr>
      <w:t xml:space="preserve"> of </w:t>
    </w:r>
    <w:r w:rsidR="00786870">
      <w:rPr>
        <w:rFonts w:cs="Arial"/>
        <w:noProof/>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B8B49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A01CED44"/>
    <w:lvl w:ilvl="0" w:tplc="066EF612">
      <w:start w:val="1"/>
      <w:numFmt w:val="decimal"/>
      <w:lvlText w:val="%1."/>
      <w:lvlJc w:val="left"/>
      <w:pPr>
        <w:tabs>
          <w:tab w:val="num" w:pos="1440"/>
        </w:tabs>
        <w:ind w:left="1440" w:hanging="360"/>
      </w:pPr>
    </w:lvl>
    <w:lvl w:ilvl="1" w:tplc="BD888832">
      <w:numFmt w:val="decimal"/>
      <w:lvlText w:val=""/>
      <w:lvlJc w:val="left"/>
    </w:lvl>
    <w:lvl w:ilvl="2" w:tplc="73F8931E">
      <w:numFmt w:val="decimal"/>
      <w:lvlText w:val=""/>
      <w:lvlJc w:val="left"/>
    </w:lvl>
    <w:lvl w:ilvl="3" w:tplc="7EB42E80">
      <w:numFmt w:val="decimal"/>
      <w:lvlText w:val=""/>
      <w:lvlJc w:val="left"/>
    </w:lvl>
    <w:lvl w:ilvl="4" w:tplc="65D2C5A4">
      <w:numFmt w:val="decimal"/>
      <w:lvlText w:val=""/>
      <w:lvlJc w:val="left"/>
    </w:lvl>
    <w:lvl w:ilvl="5" w:tplc="AB98533E">
      <w:numFmt w:val="decimal"/>
      <w:lvlText w:val=""/>
      <w:lvlJc w:val="left"/>
    </w:lvl>
    <w:lvl w:ilvl="6" w:tplc="D7184D64">
      <w:numFmt w:val="decimal"/>
      <w:lvlText w:val=""/>
      <w:lvlJc w:val="left"/>
    </w:lvl>
    <w:lvl w:ilvl="7" w:tplc="4650C388">
      <w:numFmt w:val="decimal"/>
      <w:lvlText w:val=""/>
      <w:lvlJc w:val="left"/>
    </w:lvl>
    <w:lvl w:ilvl="8" w:tplc="DCF440A8">
      <w:numFmt w:val="decimal"/>
      <w:lvlText w:val=""/>
      <w:lvlJc w:val="left"/>
    </w:lvl>
  </w:abstractNum>
  <w:abstractNum w:abstractNumId="2" w15:restartNumberingAfterBreak="0">
    <w:nsid w:val="FFFFFF7E"/>
    <w:multiLevelType w:val="hybridMultilevel"/>
    <w:tmpl w:val="7D300936"/>
    <w:lvl w:ilvl="0" w:tplc="D2685536">
      <w:start w:val="1"/>
      <w:numFmt w:val="decimal"/>
      <w:lvlText w:val="%1."/>
      <w:lvlJc w:val="left"/>
      <w:pPr>
        <w:tabs>
          <w:tab w:val="num" w:pos="1080"/>
        </w:tabs>
        <w:ind w:left="1080" w:hanging="360"/>
      </w:pPr>
    </w:lvl>
    <w:lvl w:ilvl="1" w:tplc="676C0D44">
      <w:numFmt w:val="decimal"/>
      <w:lvlText w:val=""/>
      <w:lvlJc w:val="left"/>
    </w:lvl>
    <w:lvl w:ilvl="2" w:tplc="43B86468">
      <w:numFmt w:val="decimal"/>
      <w:lvlText w:val=""/>
      <w:lvlJc w:val="left"/>
    </w:lvl>
    <w:lvl w:ilvl="3" w:tplc="66A2D79C">
      <w:numFmt w:val="decimal"/>
      <w:lvlText w:val=""/>
      <w:lvlJc w:val="left"/>
    </w:lvl>
    <w:lvl w:ilvl="4" w:tplc="13922A02">
      <w:numFmt w:val="decimal"/>
      <w:lvlText w:val=""/>
      <w:lvlJc w:val="left"/>
    </w:lvl>
    <w:lvl w:ilvl="5" w:tplc="E0F847AE">
      <w:numFmt w:val="decimal"/>
      <w:lvlText w:val=""/>
      <w:lvlJc w:val="left"/>
    </w:lvl>
    <w:lvl w:ilvl="6" w:tplc="336055F4">
      <w:numFmt w:val="decimal"/>
      <w:lvlText w:val=""/>
      <w:lvlJc w:val="left"/>
    </w:lvl>
    <w:lvl w:ilvl="7" w:tplc="C1EAC3CC">
      <w:numFmt w:val="decimal"/>
      <w:lvlText w:val=""/>
      <w:lvlJc w:val="left"/>
    </w:lvl>
    <w:lvl w:ilvl="8" w:tplc="1BF27E0A">
      <w:numFmt w:val="decimal"/>
      <w:lvlText w:val=""/>
      <w:lvlJc w:val="left"/>
    </w:lvl>
  </w:abstractNum>
  <w:abstractNum w:abstractNumId="3" w15:restartNumberingAfterBreak="0">
    <w:nsid w:val="FFFFFF7F"/>
    <w:multiLevelType w:val="hybridMultilevel"/>
    <w:tmpl w:val="C8620920"/>
    <w:lvl w:ilvl="0" w:tplc="5CCC8568">
      <w:start w:val="1"/>
      <w:numFmt w:val="decimal"/>
      <w:lvlText w:val="%1."/>
      <w:lvlJc w:val="left"/>
      <w:pPr>
        <w:tabs>
          <w:tab w:val="num" w:pos="720"/>
        </w:tabs>
        <w:ind w:left="720" w:hanging="360"/>
      </w:pPr>
    </w:lvl>
    <w:lvl w:ilvl="1" w:tplc="899EF6EE">
      <w:numFmt w:val="decimal"/>
      <w:lvlText w:val=""/>
      <w:lvlJc w:val="left"/>
    </w:lvl>
    <w:lvl w:ilvl="2" w:tplc="C0A4ECFE">
      <w:numFmt w:val="decimal"/>
      <w:lvlText w:val=""/>
      <w:lvlJc w:val="left"/>
    </w:lvl>
    <w:lvl w:ilvl="3" w:tplc="79D2CF60">
      <w:numFmt w:val="decimal"/>
      <w:lvlText w:val=""/>
      <w:lvlJc w:val="left"/>
    </w:lvl>
    <w:lvl w:ilvl="4" w:tplc="1932F150">
      <w:numFmt w:val="decimal"/>
      <w:lvlText w:val=""/>
      <w:lvlJc w:val="left"/>
    </w:lvl>
    <w:lvl w:ilvl="5" w:tplc="3AD8FEDE">
      <w:numFmt w:val="decimal"/>
      <w:lvlText w:val=""/>
      <w:lvlJc w:val="left"/>
    </w:lvl>
    <w:lvl w:ilvl="6" w:tplc="42F072DC">
      <w:numFmt w:val="decimal"/>
      <w:lvlText w:val=""/>
      <w:lvlJc w:val="left"/>
    </w:lvl>
    <w:lvl w:ilvl="7" w:tplc="E8C2F000">
      <w:numFmt w:val="decimal"/>
      <w:lvlText w:val=""/>
      <w:lvlJc w:val="left"/>
    </w:lvl>
    <w:lvl w:ilvl="8" w:tplc="E51CF544">
      <w:numFmt w:val="decimal"/>
      <w:lvlText w:val=""/>
      <w:lvlJc w:val="left"/>
    </w:lvl>
  </w:abstractNum>
  <w:abstractNum w:abstractNumId="4" w15:restartNumberingAfterBreak="0">
    <w:nsid w:val="FFFFFF80"/>
    <w:multiLevelType w:val="hybridMultilevel"/>
    <w:tmpl w:val="E926D8A0"/>
    <w:lvl w:ilvl="0" w:tplc="F3A214E2">
      <w:start w:val="1"/>
      <w:numFmt w:val="bullet"/>
      <w:lvlText w:val=""/>
      <w:lvlJc w:val="left"/>
      <w:pPr>
        <w:tabs>
          <w:tab w:val="num" w:pos="1800"/>
        </w:tabs>
        <w:ind w:left="1800" w:hanging="360"/>
      </w:pPr>
      <w:rPr>
        <w:rFonts w:ascii="Symbol" w:hAnsi="Symbol" w:hint="default"/>
      </w:rPr>
    </w:lvl>
    <w:lvl w:ilvl="1" w:tplc="A2A87E8C">
      <w:numFmt w:val="decimal"/>
      <w:lvlText w:val=""/>
      <w:lvlJc w:val="left"/>
    </w:lvl>
    <w:lvl w:ilvl="2" w:tplc="62D04C6E">
      <w:numFmt w:val="decimal"/>
      <w:lvlText w:val=""/>
      <w:lvlJc w:val="left"/>
    </w:lvl>
    <w:lvl w:ilvl="3" w:tplc="A8A0B3CE">
      <w:numFmt w:val="decimal"/>
      <w:lvlText w:val=""/>
      <w:lvlJc w:val="left"/>
    </w:lvl>
    <w:lvl w:ilvl="4" w:tplc="964EBFD0">
      <w:numFmt w:val="decimal"/>
      <w:lvlText w:val=""/>
      <w:lvlJc w:val="left"/>
    </w:lvl>
    <w:lvl w:ilvl="5" w:tplc="3B021EAA">
      <w:numFmt w:val="decimal"/>
      <w:lvlText w:val=""/>
      <w:lvlJc w:val="left"/>
    </w:lvl>
    <w:lvl w:ilvl="6" w:tplc="A748137E">
      <w:numFmt w:val="decimal"/>
      <w:lvlText w:val=""/>
      <w:lvlJc w:val="left"/>
    </w:lvl>
    <w:lvl w:ilvl="7" w:tplc="4F4EE23C">
      <w:numFmt w:val="decimal"/>
      <w:lvlText w:val=""/>
      <w:lvlJc w:val="left"/>
    </w:lvl>
    <w:lvl w:ilvl="8" w:tplc="B5B80300">
      <w:numFmt w:val="decimal"/>
      <w:lvlText w:val=""/>
      <w:lvlJc w:val="left"/>
    </w:lvl>
  </w:abstractNum>
  <w:abstractNum w:abstractNumId="5" w15:restartNumberingAfterBreak="0">
    <w:nsid w:val="FFFFFF81"/>
    <w:multiLevelType w:val="hybridMultilevel"/>
    <w:tmpl w:val="EA5427C4"/>
    <w:lvl w:ilvl="0" w:tplc="867816C4">
      <w:start w:val="1"/>
      <w:numFmt w:val="bullet"/>
      <w:lvlText w:val=""/>
      <w:lvlJc w:val="left"/>
      <w:pPr>
        <w:tabs>
          <w:tab w:val="num" w:pos="1440"/>
        </w:tabs>
        <w:ind w:left="1440" w:hanging="360"/>
      </w:pPr>
      <w:rPr>
        <w:rFonts w:ascii="Symbol" w:hAnsi="Symbol" w:hint="default"/>
      </w:rPr>
    </w:lvl>
    <w:lvl w:ilvl="1" w:tplc="9A9CFE54">
      <w:numFmt w:val="decimal"/>
      <w:lvlText w:val=""/>
      <w:lvlJc w:val="left"/>
    </w:lvl>
    <w:lvl w:ilvl="2" w:tplc="A558D48A">
      <w:numFmt w:val="decimal"/>
      <w:lvlText w:val=""/>
      <w:lvlJc w:val="left"/>
    </w:lvl>
    <w:lvl w:ilvl="3" w:tplc="51883EC2">
      <w:numFmt w:val="decimal"/>
      <w:lvlText w:val=""/>
      <w:lvlJc w:val="left"/>
    </w:lvl>
    <w:lvl w:ilvl="4" w:tplc="186C518C">
      <w:numFmt w:val="decimal"/>
      <w:lvlText w:val=""/>
      <w:lvlJc w:val="left"/>
    </w:lvl>
    <w:lvl w:ilvl="5" w:tplc="D416D810">
      <w:numFmt w:val="decimal"/>
      <w:lvlText w:val=""/>
      <w:lvlJc w:val="left"/>
    </w:lvl>
    <w:lvl w:ilvl="6" w:tplc="6FD81996">
      <w:numFmt w:val="decimal"/>
      <w:lvlText w:val=""/>
      <w:lvlJc w:val="left"/>
    </w:lvl>
    <w:lvl w:ilvl="7" w:tplc="F1C25F74">
      <w:numFmt w:val="decimal"/>
      <w:lvlText w:val=""/>
      <w:lvlJc w:val="left"/>
    </w:lvl>
    <w:lvl w:ilvl="8" w:tplc="6E74E49C">
      <w:numFmt w:val="decimal"/>
      <w:lvlText w:val=""/>
      <w:lvlJc w:val="left"/>
    </w:lvl>
  </w:abstractNum>
  <w:abstractNum w:abstractNumId="6" w15:restartNumberingAfterBreak="0">
    <w:nsid w:val="FFFFFF82"/>
    <w:multiLevelType w:val="hybridMultilevel"/>
    <w:tmpl w:val="7FB25B02"/>
    <w:lvl w:ilvl="0" w:tplc="7256D4A0">
      <w:start w:val="1"/>
      <w:numFmt w:val="bullet"/>
      <w:lvlText w:val=""/>
      <w:lvlJc w:val="left"/>
      <w:pPr>
        <w:tabs>
          <w:tab w:val="num" w:pos="1080"/>
        </w:tabs>
        <w:ind w:left="1080" w:hanging="360"/>
      </w:pPr>
      <w:rPr>
        <w:rFonts w:ascii="Symbol" w:hAnsi="Symbol" w:hint="default"/>
      </w:rPr>
    </w:lvl>
    <w:lvl w:ilvl="1" w:tplc="968C1A0A">
      <w:numFmt w:val="decimal"/>
      <w:lvlText w:val=""/>
      <w:lvlJc w:val="left"/>
    </w:lvl>
    <w:lvl w:ilvl="2" w:tplc="48925C78">
      <w:numFmt w:val="decimal"/>
      <w:lvlText w:val=""/>
      <w:lvlJc w:val="left"/>
    </w:lvl>
    <w:lvl w:ilvl="3" w:tplc="FB42D8A8">
      <w:numFmt w:val="decimal"/>
      <w:lvlText w:val=""/>
      <w:lvlJc w:val="left"/>
    </w:lvl>
    <w:lvl w:ilvl="4" w:tplc="3A1CAAF4">
      <w:numFmt w:val="decimal"/>
      <w:lvlText w:val=""/>
      <w:lvlJc w:val="left"/>
    </w:lvl>
    <w:lvl w:ilvl="5" w:tplc="02F268B8">
      <w:numFmt w:val="decimal"/>
      <w:lvlText w:val=""/>
      <w:lvlJc w:val="left"/>
    </w:lvl>
    <w:lvl w:ilvl="6" w:tplc="B9DE1974">
      <w:numFmt w:val="decimal"/>
      <w:lvlText w:val=""/>
      <w:lvlJc w:val="left"/>
    </w:lvl>
    <w:lvl w:ilvl="7" w:tplc="CB449B70">
      <w:numFmt w:val="decimal"/>
      <w:lvlText w:val=""/>
      <w:lvlJc w:val="left"/>
    </w:lvl>
    <w:lvl w:ilvl="8" w:tplc="A18847B8">
      <w:numFmt w:val="decimal"/>
      <w:lvlText w:val=""/>
      <w:lvlJc w:val="left"/>
    </w:lvl>
  </w:abstractNum>
  <w:abstractNum w:abstractNumId="7" w15:restartNumberingAfterBreak="0">
    <w:nsid w:val="FFFFFF83"/>
    <w:multiLevelType w:val="hybridMultilevel"/>
    <w:tmpl w:val="11B475A4"/>
    <w:lvl w:ilvl="0" w:tplc="C10EEC20">
      <w:start w:val="1"/>
      <w:numFmt w:val="bullet"/>
      <w:lvlText w:val=""/>
      <w:lvlJc w:val="left"/>
      <w:pPr>
        <w:tabs>
          <w:tab w:val="num" w:pos="720"/>
        </w:tabs>
        <w:ind w:left="720" w:hanging="360"/>
      </w:pPr>
      <w:rPr>
        <w:rFonts w:ascii="Symbol" w:hAnsi="Symbol" w:hint="default"/>
      </w:rPr>
    </w:lvl>
    <w:lvl w:ilvl="1" w:tplc="33907C96">
      <w:numFmt w:val="decimal"/>
      <w:lvlText w:val=""/>
      <w:lvlJc w:val="left"/>
    </w:lvl>
    <w:lvl w:ilvl="2" w:tplc="E91214D4">
      <w:numFmt w:val="decimal"/>
      <w:lvlText w:val=""/>
      <w:lvlJc w:val="left"/>
    </w:lvl>
    <w:lvl w:ilvl="3" w:tplc="4734F6D0">
      <w:numFmt w:val="decimal"/>
      <w:lvlText w:val=""/>
      <w:lvlJc w:val="left"/>
    </w:lvl>
    <w:lvl w:ilvl="4" w:tplc="324E4854">
      <w:numFmt w:val="decimal"/>
      <w:lvlText w:val=""/>
      <w:lvlJc w:val="left"/>
    </w:lvl>
    <w:lvl w:ilvl="5" w:tplc="490CA972">
      <w:numFmt w:val="decimal"/>
      <w:lvlText w:val=""/>
      <w:lvlJc w:val="left"/>
    </w:lvl>
    <w:lvl w:ilvl="6" w:tplc="081EDB54">
      <w:numFmt w:val="decimal"/>
      <w:lvlText w:val=""/>
      <w:lvlJc w:val="left"/>
    </w:lvl>
    <w:lvl w:ilvl="7" w:tplc="CEB454C2">
      <w:numFmt w:val="decimal"/>
      <w:lvlText w:val=""/>
      <w:lvlJc w:val="left"/>
    </w:lvl>
    <w:lvl w:ilvl="8" w:tplc="0B5AEB80">
      <w:numFmt w:val="decimal"/>
      <w:lvlText w:val=""/>
      <w:lvlJc w:val="left"/>
    </w:lvl>
  </w:abstractNum>
  <w:abstractNum w:abstractNumId="8" w15:restartNumberingAfterBreak="0">
    <w:nsid w:val="FFFFFF88"/>
    <w:multiLevelType w:val="hybridMultilevel"/>
    <w:tmpl w:val="EDB86E38"/>
    <w:lvl w:ilvl="0" w:tplc="E828FCEC">
      <w:start w:val="1"/>
      <w:numFmt w:val="decimal"/>
      <w:lvlText w:val="%1."/>
      <w:lvlJc w:val="left"/>
      <w:pPr>
        <w:tabs>
          <w:tab w:val="num" w:pos="360"/>
        </w:tabs>
        <w:ind w:left="360" w:hanging="360"/>
      </w:pPr>
    </w:lvl>
    <w:lvl w:ilvl="1" w:tplc="B4D03458">
      <w:numFmt w:val="decimal"/>
      <w:lvlText w:val=""/>
      <w:lvlJc w:val="left"/>
    </w:lvl>
    <w:lvl w:ilvl="2" w:tplc="665AEB10">
      <w:numFmt w:val="decimal"/>
      <w:lvlText w:val=""/>
      <w:lvlJc w:val="left"/>
    </w:lvl>
    <w:lvl w:ilvl="3" w:tplc="429006E2">
      <w:numFmt w:val="decimal"/>
      <w:lvlText w:val=""/>
      <w:lvlJc w:val="left"/>
    </w:lvl>
    <w:lvl w:ilvl="4" w:tplc="4CF490FC">
      <w:numFmt w:val="decimal"/>
      <w:lvlText w:val=""/>
      <w:lvlJc w:val="left"/>
    </w:lvl>
    <w:lvl w:ilvl="5" w:tplc="A7DADEF2">
      <w:numFmt w:val="decimal"/>
      <w:lvlText w:val=""/>
      <w:lvlJc w:val="left"/>
    </w:lvl>
    <w:lvl w:ilvl="6" w:tplc="72A47C88">
      <w:numFmt w:val="decimal"/>
      <w:lvlText w:val=""/>
      <w:lvlJc w:val="left"/>
    </w:lvl>
    <w:lvl w:ilvl="7" w:tplc="EE28F96E">
      <w:numFmt w:val="decimal"/>
      <w:lvlText w:val=""/>
      <w:lvlJc w:val="left"/>
    </w:lvl>
    <w:lvl w:ilvl="8" w:tplc="A044E686">
      <w:numFmt w:val="decimal"/>
      <w:lvlText w:val=""/>
      <w:lvlJc w:val="left"/>
    </w:lvl>
  </w:abstractNum>
  <w:abstractNum w:abstractNumId="9" w15:restartNumberingAfterBreak="0">
    <w:nsid w:val="FFFFFF89"/>
    <w:multiLevelType w:val="hybridMultilevel"/>
    <w:tmpl w:val="E83002CE"/>
    <w:lvl w:ilvl="0" w:tplc="0E60D494">
      <w:start w:val="1"/>
      <w:numFmt w:val="bullet"/>
      <w:lvlText w:val=""/>
      <w:lvlJc w:val="left"/>
      <w:pPr>
        <w:tabs>
          <w:tab w:val="num" w:pos="360"/>
        </w:tabs>
        <w:ind w:left="360" w:hanging="360"/>
      </w:pPr>
      <w:rPr>
        <w:rFonts w:ascii="Symbol" w:hAnsi="Symbol" w:hint="default"/>
      </w:rPr>
    </w:lvl>
    <w:lvl w:ilvl="1" w:tplc="D59C5232">
      <w:numFmt w:val="decimal"/>
      <w:lvlText w:val=""/>
      <w:lvlJc w:val="left"/>
    </w:lvl>
    <w:lvl w:ilvl="2" w:tplc="9CC2550A">
      <w:numFmt w:val="decimal"/>
      <w:lvlText w:val=""/>
      <w:lvlJc w:val="left"/>
    </w:lvl>
    <w:lvl w:ilvl="3" w:tplc="B420C2BC">
      <w:numFmt w:val="decimal"/>
      <w:lvlText w:val=""/>
      <w:lvlJc w:val="left"/>
    </w:lvl>
    <w:lvl w:ilvl="4" w:tplc="5550510A">
      <w:numFmt w:val="decimal"/>
      <w:lvlText w:val=""/>
      <w:lvlJc w:val="left"/>
    </w:lvl>
    <w:lvl w:ilvl="5" w:tplc="7084D6E8">
      <w:numFmt w:val="decimal"/>
      <w:lvlText w:val=""/>
      <w:lvlJc w:val="left"/>
    </w:lvl>
    <w:lvl w:ilvl="6" w:tplc="266E95C0">
      <w:numFmt w:val="decimal"/>
      <w:lvlText w:val=""/>
      <w:lvlJc w:val="left"/>
    </w:lvl>
    <w:lvl w:ilvl="7" w:tplc="7D245752">
      <w:numFmt w:val="decimal"/>
      <w:lvlText w:val=""/>
      <w:lvlJc w:val="left"/>
    </w:lvl>
    <w:lvl w:ilvl="8" w:tplc="3F5ABC30">
      <w:numFmt w:val="decimal"/>
      <w:lvlText w:val=""/>
      <w:lvlJc w:val="left"/>
    </w:lvl>
  </w:abstractNum>
  <w:abstractNum w:abstractNumId="10" w15:restartNumberingAfterBreak="0">
    <w:nsid w:val="023730F8"/>
    <w:multiLevelType w:val="hybridMultilevel"/>
    <w:tmpl w:val="4328D8A4"/>
    <w:lvl w:ilvl="0" w:tplc="CA246922">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836EBD"/>
    <w:multiLevelType w:val="hybridMultilevel"/>
    <w:tmpl w:val="D7CA0A5C"/>
    <w:lvl w:ilvl="0" w:tplc="FFFFFFF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84C0E79"/>
    <w:multiLevelType w:val="hybridMultilevel"/>
    <w:tmpl w:val="634C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8C62ED"/>
    <w:multiLevelType w:val="hybridMultilevel"/>
    <w:tmpl w:val="C84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067B43"/>
    <w:multiLevelType w:val="hybridMultilevel"/>
    <w:tmpl w:val="CD1E8CBC"/>
    <w:lvl w:ilvl="0" w:tplc="B426B8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815E42"/>
    <w:multiLevelType w:val="hybridMultilevel"/>
    <w:tmpl w:val="ABC8AE3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F6E03C9"/>
    <w:multiLevelType w:val="hybridMultilevel"/>
    <w:tmpl w:val="BB346374"/>
    <w:lvl w:ilvl="0" w:tplc="D416FF40">
      <w:start w:val="1"/>
      <w:numFmt w:val="bullet"/>
      <w:lvlText w:val=""/>
      <w:lvlJc w:val="left"/>
      <w:pPr>
        <w:ind w:left="720" w:hanging="360"/>
      </w:pPr>
      <w:rPr>
        <w:rFonts w:ascii="Symbol" w:hAnsi="Symbol" w:hint="default"/>
      </w:rPr>
    </w:lvl>
    <w:lvl w:ilvl="1" w:tplc="C04219BE">
      <w:start w:val="1"/>
      <w:numFmt w:val="bullet"/>
      <w:lvlText w:val="o"/>
      <w:lvlJc w:val="left"/>
      <w:pPr>
        <w:ind w:left="1440" w:hanging="360"/>
      </w:pPr>
      <w:rPr>
        <w:rFonts w:ascii="Courier New" w:hAnsi="Courier New" w:hint="default"/>
      </w:rPr>
    </w:lvl>
    <w:lvl w:ilvl="2" w:tplc="16A4D0F0">
      <w:start w:val="1"/>
      <w:numFmt w:val="bullet"/>
      <w:lvlText w:val=""/>
      <w:lvlJc w:val="left"/>
      <w:pPr>
        <w:ind w:left="2160" w:hanging="360"/>
      </w:pPr>
      <w:rPr>
        <w:rFonts w:ascii="Wingdings" w:hAnsi="Wingdings" w:hint="default"/>
      </w:rPr>
    </w:lvl>
    <w:lvl w:ilvl="3" w:tplc="3580E720">
      <w:start w:val="1"/>
      <w:numFmt w:val="bullet"/>
      <w:lvlText w:val=""/>
      <w:lvlJc w:val="left"/>
      <w:pPr>
        <w:ind w:left="2880" w:hanging="360"/>
      </w:pPr>
      <w:rPr>
        <w:rFonts w:ascii="Symbol" w:hAnsi="Symbol" w:hint="default"/>
      </w:rPr>
    </w:lvl>
    <w:lvl w:ilvl="4" w:tplc="42F2AD98">
      <w:start w:val="1"/>
      <w:numFmt w:val="bullet"/>
      <w:lvlText w:val="o"/>
      <w:lvlJc w:val="left"/>
      <w:pPr>
        <w:ind w:left="3600" w:hanging="360"/>
      </w:pPr>
      <w:rPr>
        <w:rFonts w:ascii="Courier New" w:hAnsi="Courier New" w:hint="default"/>
      </w:rPr>
    </w:lvl>
    <w:lvl w:ilvl="5" w:tplc="1834092E">
      <w:start w:val="1"/>
      <w:numFmt w:val="bullet"/>
      <w:lvlText w:val=""/>
      <w:lvlJc w:val="left"/>
      <w:pPr>
        <w:ind w:left="4320" w:hanging="360"/>
      </w:pPr>
      <w:rPr>
        <w:rFonts w:ascii="Wingdings" w:hAnsi="Wingdings" w:hint="default"/>
      </w:rPr>
    </w:lvl>
    <w:lvl w:ilvl="6" w:tplc="8F066A2C">
      <w:start w:val="1"/>
      <w:numFmt w:val="bullet"/>
      <w:lvlText w:val=""/>
      <w:lvlJc w:val="left"/>
      <w:pPr>
        <w:ind w:left="5040" w:hanging="360"/>
      </w:pPr>
      <w:rPr>
        <w:rFonts w:ascii="Symbol" w:hAnsi="Symbol" w:hint="default"/>
      </w:rPr>
    </w:lvl>
    <w:lvl w:ilvl="7" w:tplc="B03ECE3A">
      <w:start w:val="1"/>
      <w:numFmt w:val="bullet"/>
      <w:lvlText w:val="o"/>
      <w:lvlJc w:val="left"/>
      <w:pPr>
        <w:ind w:left="5760" w:hanging="360"/>
      </w:pPr>
      <w:rPr>
        <w:rFonts w:ascii="Courier New" w:hAnsi="Courier New" w:hint="default"/>
      </w:rPr>
    </w:lvl>
    <w:lvl w:ilvl="8" w:tplc="36860DD8">
      <w:start w:val="1"/>
      <w:numFmt w:val="bullet"/>
      <w:lvlText w:val=""/>
      <w:lvlJc w:val="left"/>
      <w:pPr>
        <w:ind w:left="6480" w:hanging="360"/>
      </w:pPr>
      <w:rPr>
        <w:rFonts w:ascii="Wingdings" w:hAnsi="Wingdings" w:hint="default"/>
      </w:rPr>
    </w:lvl>
  </w:abstractNum>
  <w:abstractNum w:abstractNumId="17" w15:restartNumberingAfterBreak="0">
    <w:nsid w:val="250F752D"/>
    <w:multiLevelType w:val="hybridMultilevel"/>
    <w:tmpl w:val="B3A8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AB2BB9"/>
    <w:multiLevelType w:val="hybridMultilevel"/>
    <w:tmpl w:val="2D3820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E25BC"/>
    <w:multiLevelType w:val="hybridMultilevel"/>
    <w:tmpl w:val="CC02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66D5A"/>
    <w:multiLevelType w:val="hybridMultilevel"/>
    <w:tmpl w:val="84AA17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C4088D"/>
    <w:multiLevelType w:val="hybridMultilevel"/>
    <w:tmpl w:val="774AC2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F2E7DB8"/>
    <w:multiLevelType w:val="hybridMultilevel"/>
    <w:tmpl w:val="92A68050"/>
    <w:lvl w:ilvl="0" w:tplc="24D087E6">
      <w:start w:val="1"/>
      <w:numFmt w:val="bullet"/>
      <w:lvlText w:val=""/>
      <w:lvlJc w:val="left"/>
      <w:pPr>
        <w:ind w:left="720" w:hanging="360"/>
      </w:pPr>
      <w:rPr>
        <w:rFonts w:ascii="Symbol" w:hAnsi="Symbol" w:hint="default"/>
      </w:rPr>
    </w:lvl>
    <w:lvl w:ilvl="1" w:tplc="1A6019AC">
      <w:start w:val="1"/>
      <w:numFmt w:val="bullet"/>
      <w:lvlText w:val="o"/>
      <w:lvlJc w:val="left"/>
      <w:pPr>
        <w:ind w:left="1440" w:hanging="360"/>
      </w:pPr>
      <w:rPr>
        <w:rFonts w:ascii="Courier New" w:hAnsi="Courier New" w:hint="default"/>
      </w:rPr>
    </w:lvl>
    <w:lvl w:ilvl="2" w:tplc="30E04F64">
      <w:start w:val="1"/>
      <w:numFmt w:val="bullet"/>
      <w:lvlText w:val=""/>
      <w:lvlJc w:val="left"/>
      <w:pPr>
        <w:ind w:left="2160" w:hanging="360"/>
      </w:pPr>
      <w:rPr>
        <w:rFonts w:ascii="Wingdings" w:hAnsi="Wingdings" w:hint="default"/>
      </w:rPr>
    </w:lvl>
    <w:lvl w:ilvl="3" w:tplc="38F0E24E">
      <w:start w:val="1"/>
      <w:numFmt w:val="bullet"/>
      <w:lvlText w:val=""/>
      <w:lvlJc w:val="left"/>
      <w:pPr>
        <w:ind w:left="2880" w:hanging="360"/>
      </w:pPr>
      <w:rPr>
        <w:rFonts w:ascii="Symbol" w:hAnsi="Symbol" w:hint="default"/>
      </w:rPr>
    </w:lvl>
    <w:lvl w:ilvl="4" w:tplc="8542D85E">
      <w:start w:val="1"/>
      <w:numFmt w:val="bullet"/>
      <w:lvlText w:val="o"/>
      <w:lvlJc w:val="left"/>
      <w:pPr>
        <w:ind w:left="3600" w:hanging="360"/>
      </w:pPr>
      <w:rPr>
        <w:rFonts w:ascii="Courier New" w:hAnsi="Courier New" w:hint="default"/>
      </w:rPr>
    </w:lvl>
    <w:lvl w:ilvl="5" w:tplc="4190A844">
      <w:start w:val="1"/>
      <w:numFmt w:val="bullet"/>
      <w:lvlText w:val=""/>
      <w:lvlJc w:val="left"/>
      <w:pPr>
        <w:ind w:left="4320" w:hanging="360"/>
      </w:pPr>
      <w:rPr>
        <w:rFonts w:ascii="Wingdings" w:hAnsi="Wingdings" w:hint="default"/>
      </w:rPr>
    </w:lvl>
    <w:lvl w:ilvl="6" w:tplc="AD4CD04A">
      <w:start w:val="1"/>
      <w:numFmt w:val="bullet"/>
      <w:lvlText w:val=""/>
      <w:lvlJc w:val="left"/>
      <w:pPr>
        <w:ind w:left="5040" w:hanging="360"/>
      </w:pPr>
      <w:rPr>
        <w:rFonts w:ascii="Symbol" w:hAnsi="Symbol" w:hint="default"/>
      </w:rPr>
    </w:lvl>
    <w:lvl w:ilvl="7" w:tplc="48181BC2">
      <w:start w:val="1"/>
      <w:numFmt w:val="bullet"/>
      <w:lvlText w:val="o"/>
      <w:lvlJc w:val="left"/>
      <w:pPr>
        <w:ind w:left="5760" w:hanging="360"/>
      </w:pPr>
      <w:rPr>
        <w:rFonts w:ascii="Courier New" w:hAnsi="Courier New" w:hint="default"/>
      </w:rPr>
    </w:lvl>
    <w:lvl w:ilvl="8" w:tplc="2B9C6820">
      <w:start w:val="1"/>
      <w:numFmt w:val="bullet"/>
      <w:lvlText w:val=""/>
      <w:lvlJc w:val="left"/>
      <w:pPr>
        <w:ind w:left="6480" w:hanging="360"/>
      </w:pPr>
      <w:rPr>
        <w:rFonts w:ascii="Wingdings" w:hAnsi="Wingdings" w:hint="default"/>
      </w:rPr>
    </w:lvl>
  </w:abstractNum>
  <w:abstractNum w:abstractNumId="23" w15:restartNumberingAfterBreak="0">
    <w:nsid w:val="4BED002D"/>
    <w:multiLevelType w:val="hybridMultilevel"/>
    <w:tmpl w:val="9562628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CD552B2"/>
    <w:multiLevelType w:val="hybridMultilevel"/>
    <w:tmpl w:val="38B8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E0A61"/>
    <w:multiLevelType w:val="hybridMultilevel"/>
    <w:tmpl w:val="D2768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61656"/>
    <w:multiLevelType w:val="hybridMultilevel"/>
    <w:tmpl w:val="4994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25AB2"/>
    <w:multiLevelType w:val="hybridMultilevel"/>
    <w:tmpl w:val="5BAAF5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68166D92"/>
    <w:multiLevelType w:val="hybridMultilevel"/>
    <w:tmpl w:val="BCE645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2F4D76"/>
    <w:multiLevelType w:val="hybridMultilevel"/>
    <w:tmpl w:val="FD00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00DD8"/>
    <w:multiLevelType w:val="hybridMultilevel"/>
    <w:tmpl w:val="850A74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76F43BA1"/>
    <w:multiLevelType w:val="hybridMultilevel"/>
    <w:tmpl w:val="C504A1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B0D6DF5"/>
    <w:multiLevelType w:val="hybridMultilevel"/>
    <w:tmpl w:val="4CD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85D4C"/>
    <w:multiLevelType w:val="hybridMultilevel"/>
    <w:tmpl w:val="BDE6A7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A42EE"/>
    <w:multiLevelType w:val="hybridMultilevel"/>
    <w:tmpl w:val="D4A20CE6"/>
    <w:lvl w:ilvl="0" w:tplc="56FC70BC">
      <w:start w:val="1"/>
      <w:numFmt w:val="bullet"/>
      <w:lvlText w:val=""/>
      <w:lvlJc w:val="left"/>
      <w:pPr>
        <w:ind w:left="720" w:hanging="360"/>
      </w:pPr>
      <w:rPr>
        <w:rFonts w:ascii="Symbol" w:hAnsi="Symbol" w:hint="default"/>
      </w:rPr>
    </w:lvl>
    <w:lvl w:ilvl="1" w:tplc="6CB0271C">
      <w:start w:val="1"/>
      <w:numFmt w:val="bullet"/>
      <w:lvlText w:val=""/>
      <w:lvlJc w:val="left"/>
      <w:pPr>
        <w:ind w:left="1440" w:hanging="360"/>
      </w:pPr>
      <w:rPr>
        <w:rFonts w:ascii="Wingdings" w:hAnsi="Wingdings" w:hint="default"/>
      </w:rPr>
    </w:lvl>
    <w:lvl w:ilvl="2" w:tplc="D61C691E">
      <w:start w:val="1"/>
      <w:numFmt w:val="bullet"/>
      <w:lvlText w:val=""/>
      <w:lvlJc w:val="left"/>
      <w:pPr>
        <w:ind w:left="2160" w:hanging="360"/>
      </w:pPr>
      <w:rPr>
        <w:rFonts w:ascii="Wingdings" w:hAnsi="Wingdings" w:hint="default"/>
      </w:rPr>
    </w:lvl>
    <w:lvl w:ilvl="3" w:tplc="FDFE80DC">
      <w:start w:val="1"/>
      <w:numFmt w:val="bullet"/>
      <w:lvlText w:val=""/>
      <w:lvlJc w:val="left"/>
      <w:pPr>
        <w:ind w:left="2880" w:hanging="360"/>
      </w:pPr>
      <w:rPr>
        <w:rFonts w:ascii="Symbol" w:hAnsi="Symbol" w:hint="default"/>
      </w:rPr>
    </w:lvl>
    <w:lvl w:ilvl="4" w:tplc="03E6D21C">
      <w:start w:val="1"/>
      <w:numFmt w:val="bullet"/>
      <w:lvlText w:val="o"/>
      <w:lvlJc w:val="left"/>
      <w:pPr>
        <w:ind w:left="3600" w:hanging="360"/>
      </w:pPr>
      <w:rPr>
        <w:rFonts w:ascii="Courier New" w:hAnsi="Courier New" w:hint="default"/>
      </w:rPr>
    </w:lvl>
    <w:lvl w:ilvl="5" w:tplc="325C5EA6">
      <w:start w:val="1"/>
      <w:numFmt w:val="bullet"/>
      <w:lvlText w:val=""/>
      <w:lvlJc w:val="left"/>
      <w:pPr>
        <w:ind w:left="4320" w:hanging="360"/>
      </w:pPr>
      <w:rPr>
        <w:rFonts w:ascii="Wingdings" w:hAnsi="Wingdings" w:hint="default"/>
      </w:rPr>
    </w:lvl>
    <w:lvl w:ilvl="6" w:tplc="8E0E58DE">
      <w:start w:val="1"/>
      <w:numFmt w:val="bullet"/>
      <w:lvlText w:val=""/>
      <w:lvlJc w:val="left"/>
      <w:pPr>
        <w:ind w:left="5040" w:hanging="360"/>
      </w:pPr>
      <w:rPr>
        <w:rFonts w:ascii="Symbol" w:hAnsi="Symbol" w:hint="default"/>
      </w:rPr>
    </w:lvl>
    <w:lvl w:ilvl="7" w:tplc="ACF0E226">
      <w:start w:val="1"/>
      <w:numFmt w:val="bullet"/>
      <w:lvlText w:val="o"/>
      <w:lvlJc w:val="left"/>
      <w:pPr>
        <w:ind w:left="5760" w:hanging="360"/>
      </w:pPr>
      <w:rPr>
        <w:rFonts w:ascii="Courier New" w:hAnsi="Courier New" w:hint="default"/>
      </w:rPr>
    </w:lvl>
    <w:lvl w:ilvl="8" w:tplc="4E48AAB4">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6"/>
  </w:num>
  <w:num w:numId="4">
    <w:abstractNumId w:val="27"/>
  </w:num>
  <w:num w:numId="5">
    <w:abstractNumId w:val="17"/>
  </w:num>
  <w:num w:numId="6">
    <w:abstractNumId w:val="21"/>
  </w:num>
  <w:num w:numId="7">
    <w:abstractNumId w:val="33"/>
  </w:num>
  <w:num w:numId="8">
    <w:abstractNumId w:val="10"/>
  </w:num>
  <w:num w:numId="9">
    <w:abstractNumId w:val="18"/>
  </w:num>
  <w:num w:numId="10">
    <w:abstractNumId w:val="26"/>
  </w:num>
  <w:num w:numId="11">
    <w:abstractNumId w:val="30"/>
  </w:num>
  <w:num w:numId="12">
    <w:abstractNumId w:val="15"/>
  </w:num>
  <w:num w:numId="13">
    <w:abstractNumId w:val="25"/>
  </w:num>
  <w:num w:numId="14">
    <w:abstractNumId w:val="24"/>
  </w:num>
  <w:num w:numId="15">
    <w:abstractNumId w:val="14"/>
  </w:num>
  <w:num w:numId="16">
    <w:abstractNumId w:val="23"/>
  </w:num>
  <w:num w:numId="17">
    <w:abstractNumId w:val="20"/>
  </w:num>
  <w:num w:numId="18">
    <w:abstractNumId w:val="31"/>
  </w:num>
  <w:num w:numId="19">
    <w:abstractNumId w:val="29"/>
  </w:num>
  <w:num w:numId="20">
    <w:abstractNumId w:val="12"/>
  </w:num>
  <w:num w:numId="21">
    <w:abstractNumId w:val="13"/>
  </w:num>
  <w:num w:numId="22">
    <w:abstractNumId w:val="32"/>
  </w:num>
  <w:num w:numId="23">
    <w:abstractNumId w:val="19"/>
  </w:num>
  <w:num w:numId="24">
    <w:abstractNumId w:val="2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2MLY0tDA3MjA3tDRR0lEKTi0uzszPAykwrAUAg4rW1iwAAAA="/>
  </w:docVars>
  <w:rsids>
    <w:rsidRoot w:val="00B47306"/>
    <w:rsid w:val="00054A08"/>
    <w:rsid w:val="00106DE1"/>
    <w:rsid w:val="00172DB8"/>
    <w:rsid w:val="00184C4F"/>
    <w:rsid w:val="001B314A"/>
    <w:rsid w:val="001F6471"/>
    <w:rsid w:val="002C2C35"/>
    <w:rsid w:val="00355FCA"/>
    <w:rsid w:val="003567B7"/>
    <w:rsid w:val="003C1006"/>
    <w:rsid w:val="004465B5"/>
    <w:rsid w:val="004508FC"/>
    <w:rsid w:val="0047719B"/>
    <w:rsid w:val="00485BA5"/>
    <w:rsid w:val="004940DA"/>
    <w:rsid w:val="004B3B6B"/>
    <w:rsid w:val="004E3D3F"/>
    <w:rsid w:val="00501BC9"/>
    <w:rsid w:val="005025C0"/>
    <w:rsid w:val="00533255"/>
    <w:rsid w:val="005C6824"/>
    <w:rsid w:val="005D112D"/>
    <w:rsid w:val="00683FBE"/>
    <w:rsid w:val="00697D4B"/>
    <w:rsid w:val="006A1E53"/>
    <w:rsid w:val="006F4023"/>
    <w:rsid w:val="007200F7"/>
    <w:rsid w:val="00722B47"/>
    <w:rsid w:val="00786870"/>
    <w:rsid w:val="007C0642"/>
    <w:rsid w:val="007D4641"/>
    <w:rsid w:val="008055C4"/>
    <w:rsid w:val="00862F06"/>
    <w:rsid w:val="00867758"/>
    <w:rsid w:val="00874F01"/>
    <w:rsid w:val="008B28FF"/>
    <w:rsid w:val="008D4BEA"/>
    <w:rsid w:val="008F2004"/>
    <w:rsid w:val="00917CD7"/>
    <w:rsid w:val="009321AA"/>
    <w:rsid w:val="009811BC"/>
    <w:rsid w:val="00981313"/>
    <w:rsid w:val="009C067E"/>
    <w:rsid w:val="009C500C"/>
    <w:rsid w:val="009F1720"/>
    <w:rsid w:val="00A7107D"/>
    <w:rsid w:val="00A74F83"/>
    <w:rsid w:val="00AC30F7"/>
    <w:rsid w:val="00AC6B06"/>
    <w:rsid w:val="00B0464A"/>
    <w:rsid w:val="00B47306"/>
    <w:rsid w:val="00B63F5A"/>
    <w:rsid w:val="00B842A3"/>
    <w:rsid w:val="00B94E95"/>
    <w:rsid w:val="00BB1D31"/>
    <w:rsid w:val="00BC226B"/>
    <w:rsid w:val="00BC2626"/>
    <w:rsid w:val="00BE0B44"/>
    <w:rsid w:val="00C3097E"/>
    <w:rsid w:val="00C97D97"/>
    <w:rsid w:val="00D11856"/>
    <w:rsid w:val="00D94ED6"/>
    <w:rsid w:val="00E35BDB"/>
    <w:rsid w:val="00E36CCE"/>
    <w:rsid w:val="00E4776A"/>
    <w:rsid w:val="00EC5836"/>
    <w:rsid w:val="00ED539F"/>
    <w:rsid w:val="00F50E82"/>
    <w:rsid w:val="00F87BD4"/>
    <w:rsid w:val="00FF098A"/>
    <w:rsid w:val="1A3E3469"/>
    <w:rsid w:val="5527B9C2"/>
    <w:rsid w:val="566D3396"/>
    <w:rsid w:val="677E9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2651"/>
  <w14:defaultImageDpi w14:val="32767"/>
  <w15:chartTrackingRefBased/>
  <w15:docId w15:val="{0084D6E4-C103-6942-B70D-D46DA701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7306"/>
    <w:rPr>
      <w:rFonts w:ascii="Times New Roman" w:eastAsia="Times New Roman" w:hAnsi="Times New Roman" w:cs="Times New Roman"/>
    </w:rPr>
  </w:style>
  <w:style w:type="paragraph" w:styleId="Heading1">
    <w:name w:val="heading 1"/>
    <w:basedOn w:val="Normal"/>
    <w:next w:val="Normal"/>
    <w:link w:val="Heading1Char"/>
    <w:uiPriority w:val="9"/>
    <w:qFormat/>
    <w:rsid w:val="00B473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7306"/>
    <w:pPr>
      <w:keepNext/>
      <w:keepLines/>
      <w:spacing w:before="160" w:after="12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B4730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4730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4730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3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730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4730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4730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47306"/>
    <w:rPr>
      <w:rFonts w:asciiTheme="majorHAnsi" w:eastAsiaTheme="majorEastAsia" w:hAnsiTheme="majorHAnsi" w:cstheme="majorBidi"/>
      <w:color w:val="2F5496" w:themeColor="accent1" w:themeShade="BF"/>
    </w:rPr>
  </w:style>
  <w:style w:type="paragraph" w:styleId="EnvelopeAddress">
    <w:name w:val="envelope address"/>
    <w:basedOn w:val="Normal"/>
    <w:uiPriority w:val="99"/>
    <w:semiHidden/>
    <w:unhideWhenUsed/>
    <w:rsid w:val="00B47306"/>
    <w:pPr>
      <w:framePr w:w="7920" w:h="1980" w:hRule="exact" w:hSpace="180" w:wrap="auto" w:hAnchor="page" w:xAlign="center" w:yAlign="bottom"/>
      <w:ind w:left="2880"/>
    </w:pPr>
    <w:rPr>
      <w:rFonts w:ascii="Arial" w:eastAsiaTheme="majorEastAsia" w:hAnsi="Arial" w:cstheme="majorBidi"/>
      <w:kern w:val="24"/>
    </w:rPr>
  </w:style>
  <w:style w:type="paragraph" w:styleId="BalloonText">
    <w:name w:val="Balloon Text"/>
    <w:basedOn w:val="Normal"/>
    <w:link w:val="BalloonTextChar"/>
    <w:uiPriority w:val="99"/>
    <w:semiHidden/>
    <w:unhideWhenUsed/>
    <w:rsid w:val="00B47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06"/>
    <w:rPr>
      <w:rFonts w:ascii="Segoe UI" w:eastAsia="Times New Roman" w:hAnsi="Segoe UI" w:cs="Segoe UI"/>
      <w:sz w:val="18"/>
      <w:szCs w:val="18"/>
    </w:rPr>
  </w:style>
  <w:style w:type="character" w:styleId="Hyperlink">
    <w:name w:val="Hyperlink"/>
    <w:uiPriority w:val="99"/>
    <w:rsid w:val="00B47306"/>
    <w:rPr>
      <w:color w:val="0000FF"/>
      <w:u w:val="single"/>
    </w:rPr>
  </w:style>
  <w:style w:type="character" w:styleId="Strong">
    <w:name w:val="Strong"/>
    <w:basedOn w:val="DefaultParagraphFont"/>
    <w:uiPriority w:val="22"/>
    <w:qFormat/>
    <w:rsid w:val="00B47306"/>
    <w:rPr>
      <w:b/>
      <w:bCs/>
    </w:rPr>
  </w:style>
  <w:style w:type="paragraph" w:styleId="BodyText">
    <w:name w:val="Body Text"/>
    <w:basedOn w:val="Normal"/>
    <w:link w:val="BodyTextChar"/>
    <w:rsid w:val="00B47306"/>
    <w:pPr>
      <w:spacing w:after="120"/>
    </w:pPr>
    <w:rPr>
      <w:rFonts w:ascii="Arial" w:hAnsi="Arial"/>
    </w:rPr>
  </w:style>
  <w:style w:type="character" w:customStyle="1" w:styleId="BodyTextChar">
    <w:name w:val="Body Text Char"/>
    <w:basedOn w:val="DefaultParagraphFont"/>
    <w:link w:val="BodyText"/>
    <w:rsid w:val="00B47306"/>
    <w:rPr>
      <w:rFonts w:ascii="Arial" w:eastAsia="Times New Roman" w:hAnsi="Arial" w:cs="Times New Roman"/>
    </w:rPr>
  </w:style>
  <w:style w:type="paragraph" w:styleId="ListParagraph">
    <w:name w:val="List Paragraph"/>
    <w:basedOn w:val="Normal"/>
    <w:uiPriority w:val="34"/>
    <w:qFormat/>
    <w:rsid w:val="00B47306"/>
    <w:pPr>
      <w:ind w:left="720"/>
    </w:pPr>
    <w:rPr>
      <w:rFonts w:ascii="Calibri" w:eastAsiaTheme="minorHAnsi" w:hAnsi="Calibri" w:cs="Calibri"/>
      <w:sz w:val="22"/>
      <w:szCs w:val="22"/>
    </w:rPr>
  </w:style>
  <w:style w:type="paragraph" w:styleId="NoSpacing">
    <w:name w:val="No Spacing"/>
    <w:uiPriority w:val="1"/>
    <w:qFormat/>
    <w:rsid w:val="00B47306"/>
    <w:rPr>
      <w:rFonts w:ascii="Arial" w:hAnsi="Arial"/>
      <w:szCs w:val="22"/>
    </w:rPr>
  </w:style>
  <w:style w:type="paragraph" w:customStyle="1" w:styleId="ColorfulList-Accent11">
    <w:name w:val="Colorful List - Accent 11"/>
    <w:basedOn w:val="Normal"/>
    <w:uiPriority w:val="34"/>
    <w:qFormat/>
    <w:rsid w:val="00B47306"/>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B47306"/>
    <w:rPr>
      <w:sz w:val="16"/>
      <w:szCs w:val="16"/>
    </w:rPr>
  </w:style>
  <w:style w:type="paragraph" w:styleId="CommentText">
    <w:name w:val="annotation text"/>
    <w:basedOn w:val="Normal"/>
    <w:link w:val="CommentTextChar"/>
    <w:uiPriority w:val="99"/>
    <w:semiHidden/>
    <w:unhideWhenUsed/>
    <w:rsid w:val="00B47306"/>
    <w:rPr>
      <w:sz w:val="20"/>
      <w:szCs w:val="20"/>
    </w:rPr>
  </w:style>
  <w:style w:type="character" w:customStyle="1" w:styleId="CommentTextChar">
    <w:name w:val="Comment Text Char"/>
    <w:basedOn w:val="DefaultParagraphFont"/>
    <w:link w:val="CommentText"/>
    <w:uiPriority w:val="99"/>
    <w:semiHidden/>
    <w:rsid w:val="00B473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7306"/>
    <w:rPr>
      <w:b/>
      <w:bCs/>
    </w:rPr>
  </w:style>
  <w:style w:type="character" w:customStyle="1" w:styleId="CommentSubjectChar">
    <w:name w:val="Comment Subject Char"/>
    <w:basedOn w:val="CommentTextChar"/>
    <w:link w:val="CommentSubject"/>
    <w:uiPriority w:val="99"/>
    <w:semiHidden/>
    <w:rsid w:val="00B4730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47306"/>
    <w:pPr>
      <w:tabs>
        <w:tab w:val="center" w:pos="4680"/>
        <w:tab w:val="right" w:pos="9360"/>
      </w:tabs>
    </w:pPr>
    <w:rPr>
      <w:rFonts w:ascii="Arial" w:hAnsi="Arial"/>
    </w:rPr>
  </w:style>
  <w:style w:type="character" w:customStyle="1" w:styleId="HeaderChar">
    <w:name w:val="Header Char"/>
    <w:basedOn w:val="DefaultParagraphFont"/>
    <w:link w:val="Header"/>
    <w:uiPriority w:val="99"/>
    <w:rsid w:val="00B47306"/>
    <w:rPr>
      <w:rFonts w:ascii="Arial" w:eastAsia="Times New Roman" w:hAnsi="Arial" w:cs="Times New Roman"/>
    </w:rPr>
  </w:style>
  <w:style w:type="paragraph" w:styleId="Footer">
    <w:name w:val="footer"/>
    <w:basedOn w:val="Normal"/>
    <w:link w:val="FooterChar"/>
    <w:uiPriority w:val="99"/>
    <w:unhideWhenUsed/>
    <w:rsid w:val="00B47306"/>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B47306"/>
    <w:rPr>
      <w:rFonts w:ascii="Arial" w:eastAsia="Times New Roman" w:hAnsi="Arial" w:cs="Times New Roman"/>
    </w:rPr>
  </w:style>
  <w:style w:type="character" w:styleId="FollowedHyperlink">
    <w:name w:val="FollowedHyperlink"/>
    <w:basedOn w:val="DefaultParagraphFont"/>
    <w:uiPriority w:val="99"/>
    <w:semiHidden/>
    <w:unhideWhenUsed/>
    <w:rsid w:val="00B47306"/>
    <w:rPr>
      <w:color w:val="954F72" w:themeColor="followedHyperlink"/>
      <w:u w:val="single"/>
    </w:rPr>
  </w:style>
  <w:style w:type="table" w:styleId="TableGrid">
    <w:name w:val="Table Grid"/>
    <w:basedOn w:val="TableNormal"/>
    <w:uiPriority w:val="39"/>
    <w:rsid w:val="00B473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730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47306"/>
    <w:rPr>
      <w:sz w:val="20"/>
      <w:szCs w:val="20"/>
    </w:rPr>
  </w:style>
  <w:style w:type="character" w:styleId="FootnoteReference">
    <w:name w:val="footnote reference"/>
    <w:basedOn w:val="DefaultParagraphFont"/>
    <w:uiPriority w:val="99"/>
    <w:semiHidden/>
    <w:unhideWhenUsed/>
    <w:rsid w:val="00B47306"/>
    <w:rPr>
      <w:vertAlign w:val="superscript"/>
    </w:rPr>
  </w:style>
  <w:style w:type="table" w:customStyle="1" w:styleId="TableGrid3">
    <w:name w:val="Table Grid3"/>
    <w:basedOn w:val="TableNormal"/>
    <w:next w:val="TableGrid"/>
    <w:uiPriority w:val="39"/>
    <w:rsid w:val="00B47306"/>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B47306"/>
    <w:rPr>
      <w:rFonts w:ascii="Arial" w:hAnsi="Arial" w:cs="Arial" w:hint="default"/>
      <w:strike w:val="0"/>
      <w:dstrike w:val="0"/>
      <w:sz w:val="20"/>
      <w:szCs w:val="20"/>
      <w:u w:val="none"/>
      <w:effect w:val="none"/>
    </w:rPr>
  </w:style>
  <w:style w:type="table" w:customStyle="1" w:styleId="TableGrid1">
    <w:name w:val="Table Grid1"/>
    <w:basedOn w:val="TableNormal"/>
    <w:next w:val="TableGrid"/>
    <w:uiPriority w:val="39"/>
    <w:rsid w:val="00B473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B47306"/>
    <w:pPr>
      <w:spacing w:after="360"/>
      <w:ind w:left="1440" w:hanging="1440"/>
    </w:pPr>
    <w:rPr>
      <w:rFonts w:ascii="Arial" w:eastAsiaTheme="majorEastAsia" w:hAnsi="Arial" w:cstheme="majorBidi"/>
    </w:rPr>
  </w:style>
  <w:style w:type="character" w:customStyle="1" w:styleId="MessageHeaderChar">
    <w:name w:val="Message Header Char"/>
    <w:basedOn w:val="DefaultParagraphFont"/>
    <w:link w:val="MessageHeader"/>
    <w:uiPriority w:val="99"/>
    <w:rsid w:val="00B47306"/>
    <w:rPr>
      <w:rFonts w:ascii="Arial" w:eastAsiaTheme="majorEastAsia" w:hAnsi="Arial" w:cstheme="majorBidi"/>
    </w:rPr>
  </w:style>
  <w:style w:type="character" w:customStyle="1" w:styleId="normaltextrun">
    <w:name w:val="normaltextrun"/>
    <w:basedOn w:val="DefaultParagraphFont"/>
    <w:rsid w:val="00B47306"/>
  </w:style>
  <w:style w:type="character" w:customStyle="1" w:styleId="eop">
    <w:name w:val="eop"/>
    <w:basedOn w:val="DefaultParagraphFont"/>
    <w:rsid w:val="00B47306"/>
  </w:style>
  <w:style w:type="paragraph" w:customStyle="1" w:styleId="paragraph">
    <w:name w:val="paragraph"/>
    <w:basedOn w:val="Normal"/>
    <w:rsid w:val="00B47306"/>
    <w:pPr>
      <w:spacing w:before="100" w:beforeAutospacing="1" w:after="100" w:afterAutospacing="1"/>
    </w:pPr>
  </w:style>
  <w:style w:type="character" w:customStyle="1" w:styleId="scxw143974045">
    <w:name w:val="scxw143974045"/>
    <w:basedOn w:val="DefaultParagraphFont"/>
    <w:rsid w:val="00B47306"/>
  </w:style>
  <w:style w:type="character" w:customStyle="1" w:styleId="scxw60765058">
    <w:name w:val="scxw60765058"/>
    <w:basedOn w:val="DefaultParagraphFont"/>
    <w:rsid w:val="00B47306"/>
  </w:style>
  <w:style w:type="paragraph" w:styleId="Revision">
    <w:name w:val="Revision"/>
    <w:hidden/>
    <w:uiPriority w:val="99"/>
    <w:semiHidden/>
    <w:rsid w:val="003C10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7/documents/jul17item01.doc"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cde.ca.gov/be/pn/im/documents/memo-pptb-amard-aug19item01.docx" TargetMode="External"/><Relationship Id="rId20" Type="http://schemas.openxmlformats.org/officeDocument/2006/relationships/hyperlink" Target="https://www.cde.ca.gov/be/pn/im/documents/memo-pptb-amard-aug19item0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cde.ca.gov/be/ag/ag/yr18/documents/may18item02.doc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8/documents/mar18item01.docx"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436D-4AD4-4CFD-B4CC-511D38A9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216EF-3A28-41B1-AD0A-9119E8CC56ED}">
  <ds:schemaRefs>
    <ds:schemaRef ds:uri="http://schemas.microsoft.com/sharepoint/v3/contenttype/forms"/>
  </ds:schemaRefs>
</ds:datastoreItem>
</file>

<file path=customXml/itemProps3.xml><?xml version="1.0" encoding="utf-8"?>
<ds:datastoreItem xmlns:ds="http://schemas.openxmlformats.org/officeDocument/2006/customXml" ds:itemID="{8F0FAE63-E6E1-4125-BA21-DDCF37918904}">
  <ds:schemaRefs>
    <ds:schemaRef ds:uri="http://schemas.microsoft.com/office/infopath/2007/PartnerControls"/>
    <ds:schemaRef ds:uri="http://purl.org/dc/elements/1.1/"/>
    <ds:schemaRef ds:uri="http://schemas.microsoft.com/office/2006/metadata/properties"/>
    <ds:schemaRef ds:uri="1aae30ff-d7bc-47e3-882e-cd3423d00d62"/>
    <ds:schemaRef ds:uri="http://purl.org/dc/terms/"/>
    <ds:schemaRef ds:uri="http://schemas.microsoft.com/office/2006/documentManagement/types"/>
    <ds:schemaRef ds:uri="http://purl.org/dc/dcmitype/"/>
    <ds:schemaRef ds:uri="http://schemas.openxmlformats.org/package/2006/metadata/core-properties"/>
    <ds:schemaRef ds:uri="f89dec18-d0c2-45d2-8a15-31051f2519f8"/>
    <ds:schemaRef ds:uri="http://www.w3.org/XML/1998/namespace"/>
  </ds:schemaRefs>
</ds:datastoreItem>
</file>

<file path=customXml/itemProps4.xml><?xml version="1.0" encoding="utf-8"?>
<ds:datastoreItem xmlns:ds="http://schemas.openxmlformats.org/officeDocument/2006/customXml" ds:itemID="{5E566908-1388-47EE-8C6D-94F8FD50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2710</Words>
  <Characters>15453</Characters>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2021 Memo IMB AMARD Item 01 - Information Memorandum (CA State Board of Education)</dc:title>
  <dc:subject>Update on the Implementation of the Integrated Local, State, and Federal Accountability and Continuous Improvement System.</dc:subject>
  <cp:keywords/>
  <dc:description/>
  <dcterms:created xsi:type="dcterms:W3CDTF">2021-03-16T15:59:00Z</dcterms:created>
  <dcterms:modified xsi:type="dcterms:W3CDTF">2021-04-16T18:28:00Z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