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69F7" w14:textId="77777777" w:rsidR="001F6728" w:rsidRPr="00CB0374" w:rsidRDefault="00057A96" w:rsidP="00057A96">
      <w:r w:rsidRPr="00CB0374">
        <w:t>California Department of Education</w:t>
      </w:r>
    </w:p>
    <w:p w14:paraId="30010352" w14:textId="77777777" w:rsidR="00057A96" w:rsidRPr="00CB0374" w:rsidRDefault="00057A96" w:rsidP="00057A96">
      <w:r w:rsidRPr="00CB0374">
        <w:t>Executive Office</w:t>
      </w:r>
    </w:p>
    <w:p w14:paraId="33CC842A" w14:textId="77777777" w:rsidR="00B459B3" w:rsidRDefault="001F6728" w:rsidP="00B459B3">
      <w:pPr>
        <w:spacing w:after="240"/>
      </w:pPr>
      <w:r w:rsidRPr="00CB0374">
        <w:t>SBE-002 (REV. 11/2017)</w:t>
      </w:r>
    </w:p>
    <w:p w14:paraId="29762094" w14:textId="47F71427" w:rsidR="00B459B3" w:rsidRDefault="00834BC6" w:rsidP="00B459B3">
      <w:pPr>
        <w:spacing w:after="240"/>
        <w:ind w:firstLine="1170"/>
        <w:rPr>
          <w:rFonts w:cs="Arial"/>
          <w:color w:val="000000"/>
        </w:rPr>
        <w:sectPr w:rsidR="00B459B3" w:rsidSect="00B459B3">
          <w:headerReference w:type="default" r:id="rId8"/>
          <w:pgSz w:w="12240" w:h="15840"/>
          <w:pgMar w:top="720" w:right="1440" w:bottom="1440" w:left="1440" w:header="720" w:footer="720" w:gutter="0"/>
          <w:pgNumType w:start="1"/>
          <w:cols w:num="2" w:space="720"/>
          <w:titlePg/>
          <w:docGrid w:linePitch="326"/>
        </w:sectPr>
      </w:pPr>
      <w:proofErr w:type="gramStart"/>
      <w:r>
        <w:rPr>
          <w:rFonts w:cs="Arial"/>
          <w:color w:val="000000"/>
        </w:rPr>
        <w:t>memo-exec-gad-oct</w:t>
      </w:r>
      <w:r w:rsidR="00B459B3">
        <w:rPr>
          <w:rFonts w:cs="Arial"/>
          <w:color w:val="000000"/>
        </w:rPr>
        <w:t>18item02</w:t>
      </w:r>
      <w:proofErr w:type="gramEnd"/>
    </w:p>
    <w:p w14:paraId="46B88F95" w14:textId="77777777" w:rsidR="00057A96" w:rsidRPr="00CB0374" w:rsidRDefault="008F081A" w:rsidP="004272C0">
      <w:pPr>
        <w:pStyle w:val="Heading1"/>
        <w:spacing w:after="240"/>
        <w:rPr>
          <w:rFonts w:cs="Arial"/>
          <w:b/>
          <w:bCs/>
          <w:sz w:val="40"/>
          <w:szCs w:val="40"/>
        </w:rPr>
      </w:pPr>
      <w:r w:rsidRPr="00CB0374">
        <w:rPr>
          <w:rFonts w:ascii="Arial" w:hAnsi="Arial" w:cs="Arial"/>
          <w:b/>
          <w:bCs/>
          <w:color w:val="auto"/>
          <w:sz w:val="40"/>
          <w:szCs w:val="40"/>
        </w:rPr>
        <w:t>M</w:t>
      </w:r>
      <w:r w:rsidR="00BC376B" w:rsidRPr="00CB0374">
        <w:rPr>
          <w:rFonts w:ascii="Arial" w:hAnsi="Arial" w:cs="Arial"/>
          <w:b/>
          <w:bCs/>
          <w:color w:val="auto"/>
          <w:sz w:val="40"/>
          <w:szCs w:val="40"/>
        </w:rPr>
        <w:t>EMORANDUM</w:t>
      </w:r>
    </w:p>
    <w:p w14:paraId="31692B3C" w14:textId="7A3CD0CB" w:rsidR="00057A96" w:rsidRPr="00CB0374" w:rsidRDefault="008F6CA0" w:rsidP="003F4971">
      <w:pPr>
        <w:pStyle w:val="MessageHeader"/>
      </w:pPr>
      <w:r w:rsidRPr="00CB0374">
        <w:rPr>
          <w:b/>
        </w:rPr>
        <w:t>DATE:</w:t>
      </w:r>
      <w:r w:rsidRPr="00CB0374">
        <w:tab/>
      </w:r>
      <w:r w:rsidR="00834BC6">
        <w:t xml:space="preserve">October </w:t>
      </w:r>
      <w:r w:rsidR="001719DA">
        <w:t>18</w:t>
      </w:r>
      <w:r w:rsidR="002406CC" w:rsidRPr="00CB0374">
        <w:t>, 2018</w:t>
      </w:r>
      <w:r w:rsidR="00057A96" w:rsidRPr="00CB0374">
        <w:t xml:space="preserve"> </w:t>
      </w:r>
    </w:p>
    <w:p w14:paraId="2AAC6A0D" w14:textId="77777777" w:rsidR="00057A96" w:rsidRPr="00CB0374" w:rsidRDefault="00057A96" w:rsidP="003F4971">
      <w:pPr>
        <w:pStyle w:val="MessageHeader"/>
      </w:pPr>
      <w:r w:rsidRPr="00CB0374">
        <w:rPr>
          <w:b/>
        </w:rPr>
        <w:t>TO:</w:t>
      </w:r>
      <w:r w:rsidRPr="00CB0374">
        <w:rPr>
          <w:b/>
        </w:rPr>
        <w:tab/>
      </w:r>
      <w:r w:rsidRPr="00CB0374">
        <w:t>MEMBERS, State Board of Education</w:t>
      </w:r>
    </w:p>
    <w:p w14:paraId="336D329D" w14:textId="77777777" w:rsidR="00057A96" w:rsidRPr="00CB0374" w:rsidRDefault="00057A96" w:rsidP="003F4971">
      <w:pPr>
        <w:pStyle w:val="MessageHeader"/>
      </w:pPr>
      <w:r w:rsidRPr="00CB0374">
        <w:rPr>
          <w:b/>
        </w:rPr>
        <w:t>FROM:</w:t>
      </w:r>
      <w:r w:rsidR="00C61F78" w:rsidRPr="00CB0374">
        <w:tab/>
        <w:t xml:space="preserve">TOM TORLAKSON, </w:t>
      </w:r>
      <w:r w:rsidRPr="00CB0374">
        <w:t>State Superintendent of Public Instruction</w:t>
      </w:r>
    </w:p>
    <w:p w14:paraId="7F3B8C38" w14:textId="77777777" w:rsidR="00057A96" w:rsidRPr="00CB0374" w:rsidRDefault="00057A96" w:rsidP="003F4971">
      <w:pPr>
        <w:pStyle w:val="MessageHeader"/>
      </w:pPr>
      <w:r w:rsidRPr="00CB0374">
        <w:rPr>
          <w:b/>
        </w:rPr>
        <w:t>SUBJECT:</w:t>
      </w:r>
      <w:r w:rsidRPr="00834BC6">
        <w:rPr>
          <w:b/>
        </w:rPr>
        <w:tab/>
      </w:r>
      <w:r w:rsidR="00834BC6" w:rsidRPr="00834BC6">
        <w:rPr>
          <w:rFonts w:cs="Arial"/>
          <w:noProof/>
          <w:szCs w:val="23"/>
        </w:rPr>
        <w:t xml:space="preserve">Every Student Succeeds Act: Request for a Waiver Under Title I, Part A, Section 8401 to </w:t>
      </w:r>
      <w:r w:rsidR="00834BC6">
        <w:rPr>
          <w:rFonts w:cs="Arial"/>
          <w:noProof/>
          <w:szCs w:val="23"/>
        </w:rPr>
        <w:t>Align the State and Federal English Learner Progress Indicator</w:t>
      </w:r>
      <w:r w:rsidR="00834BC6" w:rsidRPr="00834BC6">
        <w:rPr>
          <w:rFonts w:cs="Arial"/>
          <w:noProof/>
          <w:szCs w:val="23"/>
        </w:rPr>
        <w:t>.</w:t>
      </w:r>
    </w:p>
    <w:p w14:paraId="2A7F42B8" w14:textId="77777777" w:rsidR="00057A96" w:rsidRPr="00CB0374" w:rsidRDefault="00474A2F" w:rsidP="008B1135">
      <w:pPr>
        <w:pStyle w:val="Heading2"/>
        <w:spacing w:before="240" w:after="0" w:line="360" w:lineRule="auto"/>
        <w:rPr>
          <w:sz w:val="36"/>
        </w:rPr>
      </w:pPr>
      <w:r w:rsidRPr="00CB0374">
        <w:rPr>
          <w:sz w:val="36"/>
        </w:rPr>
        <w:t>Summary o</w:t>
      </w:r>
      <w:r w:rsidR="00057A96" w:rsidRPr="00CB0374">
        <w:rPr>
          <w:sz w:val="36"/>
        </w:rPr>
        <w:t>f Key Issues</w:t>
      </w:r>
    </w:p>
    <w:p w14:paraId="6F2F68C7" w14:textId="77777777" w:rsidR="00834BC6" w:rsidRDefault="00834BC6" w:rsidP="001F6728">
      <w:pPr>
        <w:spacing w:after="240"/>
        <w:rPr>
          <w:rFonts w:cs="Arial"/>
        </w:rPr>
      </w:pPr>
      <w:r w:rsidRPr="00834BC6">
        <w:rPr>
          <w:rFonts w:cs="Arial"/>
        </w:rPr>
        <w:t xml:space="preserve">This Information Memorandum provides an update on California’s request for a waiver under Title I, Part A, </w:t>
      </w:r>
      <w:proofErr w:type="gramStart"/>
      <w:r w:rsidRPr="00834BC6">
        <w:rPr>
          <w:rFonts w:cs="Arial"/>
        </w:rPr>
        <w:t>Section</w:t>
      </w:r>
      <w:proofErr w:type="gramEnd"/>
      <w:r w:rsidRPr="00834BC6">
        <w:rPr>
          <w:rFonts w:cs="Arial"/>
        </w:rPr>
        <w:t xml:space="preserve"> 8401 to </w:t>
      </w:r>
      <w:r>
        <w:rPr>
          <w:rFonts w:cs="Arial"/>
        </w:rPr>
        <w:t>align</w:t>
      </w:r>
      <w:r w:rsidR="002060AC">
        <w:rPr>
          <w:rFonts w:cs="Arial"/>
        </w:rPr>
        <w:t xml:space="preserve"> the state and federal English learner progress i</w:t>
      </w:r>
      <w:r>
        <w:rPr>
          <w:rFonts w:cs="Arial"/>
        </w:rPr>
        <w:t>ndicator</w:t>
      </w:r>
      <w:r w:rsidR="002060AC">
        <w:rPr>
          <w:rFonts w:cs="Arial"/>
        </w:rPr>
        <w:t xml:space="preserve"> (ELPI)</w:t>
      </w:r>
      <w:r>
        <w:rPr>
          <w:rFonts w:cs="Arial"/>
        </w:rPr>
        <w:t xml:space="preserve">. </w:t>
      </w:r>
    </w:p>
    <w:p w14:paraId="08D395A1" w14:textId="7AA2ECD8" w:rsidR="00834BC6" w:rsidRDefault="001C59E7" w:rsidP="001F6728">
      <w:pPr>
        <w:spacing w:after="240"/>
        <w:rPr>
          <w:rFonts w:cs="Arial"/>
        </w:rPr>
      </w:pPr>
      <w:r>
        <w:rPr>
          <w:rFonts w:cs="Arial"/>
        </w:rPr>
        <w:t>The California Department of Education (CDE) and the California State Board of Education (SBE) received an</w:t>
      </w:r>
      <w:r w:rsidR="00432F1E">
        <w:rPr>
          <w:rFonts w:cs="Arial"/>
        </w:rPr>
        <w:t xml:space="preserve"> initial denial letter, formally known as an</w:t>
      </w:r>
      <w:r>
        <w:rPr>
          <w:rFonts w:cs="Arial"/>
        </w:rPr>
        <w:t xml:space="preserve"> initial determination of disapproval letter</w:t>
      </w:r>
      <w:r w:rsidR="00432F1E">
        <w:rPr>
          <w:rFonts w:cs="Arial"/>
        </w:rPr>
        <w:t>,</w:t>
      </w:r>
      <w:r>
        <w:rPr>
          <w:rFonts w:cs="Arial"/>
        </w:rPr>
        <w:t xml:space="preserve"> related to California’s waiver request </w:t>
      </w:r>
      <w:r w:rsidR="00E862C5">
        <w:rPr>
          <w:rFonts w:cs="Arial"/>
        </w:rPr>
        <w:t xml:space="preserve">from the U.S. Department of Education (ED) </w:t>
      </w:r>
      <w:r>
        <w:rPr>
          <w:rFonts w:cs="Arial"/>
        </w:rPr>
        <w:t xml:space="preserve">on </w:t>
      </w:r>
      <w:r w:rsidR="003F121C">
        <w:rPr>
          <w:rFonts w:cs="Arial"/>
        </w:rPr>
        <w:t>October 9</w:t>
      </w:r>
      <w:r>
        <w:rPr>
          <w:rFonts w:cs="Arial"/>
        </w:rPr>
        <w:t>, 2018.</w:t>
      </w:r>
    </w:p>
    <w:p w14:paraId="381FF45E" w14:textId="77777777" w:rsidR="00834BC6" w:rsidRPr="00DC788A" w:rsidRDefault="00834BC6" w:rsidP="00DC788A">
      <w:pPr>
        <w:pStyle w:val="Heading2"/>
        <w:rPr>
          <w:sz w:val="36"/>
        </w:rPr>
      </w:pPr>
      <w:r w:rsidRPr="00DC788A">
        <w:rPr>
          <w:sz w:val="36"/>
        </w:rPr>
        <w:t xml:space="preserve">Brief History of Key </w:t>
      </w:r>
      <w:bookmarkStart w:id="0" w:name="_GoBack"/>
      <w:bookmarkEnd w:id="0"/>
      <w:r w:rsidRPr="00DC788A">
        <w:rPr>
          <w:sz w:val="36"/>
        </w:rPr>
        <w:t>Issues</w:t>
      </w:r>
    </w:p>
    <w:p w14:paraId="667B28C8" w14:textId="46C92149" w:rsidR="00436E2E" w:rsidRDefault="00834BC6" w:rsidP="00B459B3">
      <w:pPr>
        <w:spacing w:after="100" w:afterAutospacing="1"/>
        <w:rPr>
          <w:rFonts w:cs="Arial"/>
          <w:szCs w:val="23"/>
        </w:rPr>
      </w:pPr>
      <w:r w:rsidRPr="00834BC6">
        <w:rPr>
          <w:rFonts w:cs="Arial"/>
          <w:szCs w:val="23"/>
        </w:rPr>
        <w:t xml:space="preserve">After extensive research and consultation with </w:t>
      </w:r>
      <w:r w:rsidR="00A4375A">
        <w:rPr>
          <w:rFonts w:cs="Arial"/>
          <w:szCs w:val="23"/>
        </w:rPr>
        <w:t>educators and equity advocate</w:t>
      </w:r>
      <w:r w:rsidR="00A4375A" w:rsidRPr="00834BC6">
        <w:rPr>
          <w:rFonts w:cs="Arial"/>
          <w:szCs w:val="23"/>
        </w:rPr>
        <w:t>s</w:t>
      </w:r>
      <w:r w:rsidR="008F4C24">
        <w:rPr>
          <w:rFonts w:cs="Arial"/>
          <w:szCs w:val="23"/>
        </w:rPr>
        <w:t xml:space="preserve">, </w:t>
      </w:r>
      <w:r w:rsidRPr="00834BC6">
        <w:rPr>
          <w:rFonts w:cs="Arial"/>
          <w:szCs w:val="23"/>
        </w:rPr>
        <w:t xml:space="preserve">the SBE approved the inclusion of </w:t>
      </w:r>
      <w:r w:rsidR="002060AC">
        <w:rPr>
          <w:rFonts w:cs="Arial"/>
          <w:szCs w:val="23"/>
        </w:rPr>
        <w:t>reclassified fluent English proficient</w:t>
      </w:r>
      <w:r w:rsidRPr="00834BC6">
        <w:rPr>
          <w:rFonts w:cs="Arial"/>
          <w:szCs w:val="23"/>
        </w:rPr>
        <w:t xml:space="preserve"> </w:t>
      </w:r>
      <w:r w:rsidR="002060AC">
        <w:rPr>
          <w:rFonts w:cs="Arial"/>
          <w:szCs w:val="23"/>
        </w:rPr>
        <w:t xml:space="preserve">(RFEP) </w:t>
      </w:r>
      <w:r w:rsidRPr="00834BC6">
        <w:rPr>
          <w:rFonts w:cs="Arial"/>
          <w:szCs w:val="23"/>
        </w:rPr>
        <w:t>students in California’s</w:t>
      </w:r>
      <w:r w:rsidR="00A4375A">
        <w:rPr>
          <w:rFonts w:cs="Arial"/>
          <w:szCs w:val="23"/>
        </w:rPr>
        <w:t xml:space="preserve"> English Learner Progress Indicator</w:t>
      </w:r>
      <w:r w:rsidRPr="00834BC6">
        <w:rPr>
          <w:rFonts w:cs="Arial"/>
          <w:szCs w:val="23"/>
        </w:rPr>
        <w:t xml:space="preserve"> </w:t>
      </w:r>
      <w:r w:rsidR="00A4375A">
        <w:rPr>
          <w:rFonts w:cs="Arial"/>
          <w:szCs w:val="23"/>
        </w:rPr>
        <w:t>(</w:t>
      </w:r>
      <w:r w:rsidR="002060AC">
        <w:rPr>
          <w:rFonts w:cs="Arial"/>
          <w:szCs w:val="23"/>
        </w:rPr>
        <w:t>ELPI</w:t>
      </w:r>
      <w:r w:rsidR="00A4375A">
        <w:rPr>
          <w:rFonts w:cs="Arial"/>
          <w:szCs w:val="23"/>
        </w:rPr>
        <w:t>)</w:t>
      </w:r>
      <w:r w:rsidRPr="00834BC6">
        <w:rPr>
          <w:rFonts w:cs="Arial"/>
          <w:szCs w:val="23"/>
        </w:rPr>
        <w:t xml:space="preserve"> at </w:t>
      </w:r>
      <w:r w:rsidR="00A4375A">
        <w:rPr>
          <w:rFonts w:cs="Arial"/>
          <w:szCs w:val="23"/>
        </w:rPr>
        <w:t>its</w:t>
      </w:r>
      <w:r w:rsidR="00A4375A" w:rsidRPr="00834BC6">
        <w:rPr>
          <w:rFonts w:cs="Arial"/>
          <w:szCs w:val="23"/>
        </w:rPr>
        <w:t xml:space="preserve"> </w:t>
      </w:r>
      <w:r w:rsidRPr="00834BC6">
        <w:rPr>
          <w:rFonts w:cs="Arial"/>
          <w:szCs w:val="23"/>
        </w:rPr>
        <w:t>September 2017 meeting.</w:t>
      </w:r>
      <w:r w:rsidR="00436E2E" w:rsidRPr="00436E2E">
        <w:t xml:space="preserve"> </w:t>
      </w:r>
      <w:r w:rsidR="00436E2E">
        <w:t xml:space="preserve">California’s definition of language proficiency is not limited to only achieving a specified score in the English language proficiency assessment, but rather a holistic standard for language fluency and use based on both </w:t>
      </w:r>
      <w:r w:rsidR="00436E2E">
        <w:rPr>
          <w:color w:val="000000"/>
        </w:rPr>
        <w:t>quantitative and qualitative data</w:t>
      </w:r>
      <w:r w:rsidR="00436E2E">
        <w:t xml:space="preserve">. The goal is to ensure that English learners </w:t>
      </w:r>
      <w:r w:rsidR="00E862C5">
        <w:t xml:space="preserve">(ELs) </w:t>
      </w:r>
      <w:r w:rsidR="00436E2E">
        <w:t>are prepared for success: If they are, they are reclassified. If they are not, they continue to be eligible for language support services. Reclassification is the final and critical step in demonstrating language proficiency. Excluding whether students have been reclassified from this measure creates an unrealistic view of how well a district or school is helping all of their EL students attain language proficiency.</w:t>
      </w:r>
      <w:r w:rsidRPr="00834BC6">
        <w:rPr>
          <w:rFonts w:cs="Arial"/>
          <w:szCs w:val="23"/>
        </w:rPr>
        <w:t xml:space="preserve"> </w:t>
      </w:r>
    </w:p>
    <w:p w14:paraId="23DBEEAF" w14:textId="013E303B" w:rsidR="00432F1E" w:rsidRDefault="00834BC6" w:rsidP="00B459B3">
      <w:pPr>
        <w:spacing w:after="100" w:afterAutospacing="1"/>
        <w:rPr>
          <w:rFonts w:cs="Arial"/>
          <w:szCs w:val="23"/>
        </w:rPr>
      </w:pPr>
      <w:r w:rsidRPr="00834BC6">
        <w:rPr>
          <w:rFonts w:cs="Arial"/>
          <w:szCs w:val="23"/>
        </w:rPr>
        <w:t xml:space="preserve">At the same meeting, the SBE approved a proposal strongly supported by stakeholders to provide additional weight in the ELPI calculation for </w:t>
      </w:r>
      <w:r w:rsidR="002060AC">
        <w:rPr>
          <w:rFonts w:cs="Arial"/>
          <w:szCs w:val="23"/>
        </w:rPr>
        <w:t xml:space="preserve">long-term English learners (LTEL) </w:t>
      </w:r>
      <w:r w:rsidRPr="00834BC6">
        <w:rPr>
          <w:rFonts w:cs="Arial"/>
          <w:szCs w:val="23"/>
        </w:rPr>
        <w:t>who advanced at least one level on the California English Language Development Tes</w:t>
      </w:r>
      <w:r w:rsidR="002060AC">
        <w:rPr>
          <w:rFonts w:cs="Arial"/>
          <w:szCs w:val="23"/>
        </w:rPr>
        <w:t>t.</w:t>
      </w:r>
      <w:r w:rsidR="00432F1E">
        <w:rPr>
          <w:rFonts w:cs="Arial"/>
          <w:szCs w:val="23"/>
        </w:rPr>
        <w:t xml:space="preserve"> This </w:t>
      </w:r>
      <w:r w:rsidR="00E862C5">
        <w:rPr>
          <w:rFonts w:cs="Arial"/>
          <w:szCs w:val="23"/>
        </w:rPr>
        <w:t>additional</w:t>
      </w:r>
      <w:r w:rsidR="00432F1E">
        <w:rPr>
          <w:rFonts w:cs="Arial"/>
          <w:szCs w:val="23"/>
        </w:rPr>
        <w:t xml:space="preserve"> weight</w:t>
      </w:r>
      <w:r w:rsidR="008F4C24">
        <w:rPr>
          <w:rFonts w:cs="Arial"/>
          <w:szCs w:val="23"/>
        </w:rPr>
        <w:t xml:space="preserve"> is another </w:t>
      </w:r>
      <w:r w:rsidR="00432F1E">
        <w:rPr>
          <w:rFonts w:cs="Arial"/>
          <w:szCs w:val="23"/>
        </w:rPr>
        <w:t>incenti</w:t>
      </w:r>
      <w:r w:rsidR="008F4C24">
        <w:rPr>
          <w:rFonts w:cs="Arial"/>
          <w:szCs w:val="23"/>
        </w:rPr>
        <w:t xml:space="preserve">ve </w:t>
      </w:r>
      <w:r w:rsidR="009E089E">
        <w:rPr>
          <w:rFonts w:cs="Arial"/>
          <w:szCs w:val="23"/>
        </w:rPr>
        <w:t xml:space="preserve">for </w:t>
      </w:r>
      <w:r w:rsidR="00432F1E">
        <w:rPr>
          <w:rFonts w:cs="Arial"/>
          <w:szCs w:val="23"/>
        </w:rPr>
        <w:t xml:space="preserve">educators </w:t>
      </w:r>
      <w:r w:rsidR="003F0C7D">
        <w:rPr>
          <w:rFonts w:cs="Arial"/>
          <w:szCs w:val="23"/>
        </w:rPr>
        <w:t xml:space="preserve">and local educational agencies </w:t>
      </w:r>
      <w:r w:rsidR="00432F1E">
        <w:rPr>
          <w:rFonts w:cs="Arial"/>
          <w:szCs w:val="23"/>
        </w:rPr>
        <w:t xml:space="preserve">to continue to focus on students who have been </w:t>
      </w:r>
      <w:r w:rsidR="009E089E">
        <w:rPr>
          <w:rFonts w:cs="Arial"/>
          <w:szCs w:val="23"/>
        </w:rPr>
        <w:t xml:space="preserve">in a U.S. school </w:t>
      </w:r>
      <w:r w:rsidR="009E089E">
        <w:rPr>
          <w:rFonts w:cs="Arial"/>
          <w:szCs w:val="23"/>
        </w:rPr>
        <w:lastRenderedPageBreak/>
        <w:t xml:space="preserve">for six or more years and have struggled to make progress on the </w:t>
      </w:r>
      <w:r w:rsidR="00432F1E">
        <w:rPr>
          <w:rFonts w:cs="Arial"/>
          <w:szCs w:val="23"/>
        </w:rPr>
        <w:t xml:space="preserve">English </w:t>
      </w:r>
      <w:r w:rsidR="009E089E">
        <w:rPr>
          <w:rFonts w:cs="Arial"/>
          <w:szCs w:val="23"/>
        </w:rPr>
        <w:t>language proficiency assessment for two or more consecutive years</w:t>
      </w:r>
      <w:r w:rsidR="00432F1E">
        <w:rPr>
          <w:rFonts w:cs="Arial"/>
          <w:szCs w:val="23"/>
        </w:rPr>
        <w:t xml:space="preserve">. </w:t>
      </w:r>
      <w:r w:rsidR="00A4375A">
        <w:rPr>
          <w:rFonts w:cs="Arial"/>
          <w:szCs w:val="23"/>
        </w:rPr>
        <w:t xml:space="preserve"> </w:t>
      </w:r>
    </w:p>
    <w:p w14:paraId="5B53F266" w14:textId="6F3EC03C" w:rsidR="00834BC6" w:rsidRPr="00834BC6" w:rsidRDefault="00A4375A" w:rsidP="00B459B3">
      <w:pPr>
        <w:spacing w:after="100" w:afterAutospacing="1"/>
        <w:rPr>
          <w:rFonts w:cs="Arial"/>
          <w:szCs w:val="23"/>
        </w:rPr>
      </w:pPr>
      <w:r>
        <w:rPr>
          <w:rFonts w:cs="Arial"/>
          <w:szCs w:val="23"/>
        </w:rPr>
        <w:t>California has 1.3 million E</w:t>
      </w:r>
      <w:r w:rsidR="00E862C5">
        <w:rPr>
          <w:rFonts w:cs="Arial"/>
          <w:szCs w:val="23"/>
        </w:rPr>
        <w:t>L</w:t>
      </w:r>
      <w:r>
        <w:rPr>
          <w:rFonts w:cs="Arial"/>
          <w:szCs w:val="23"/>
        </w:rPr>
        <w:t xml:space="preserve"> </w:t>
      </w:r>
      <w:r w:rsidR="00E862C5">
        <w:rPr>
          <w:rFonts w:cs="Arial"/>
          <w:szCs w:val="23"/>
        </w:rPr>
        <w:t xml:space="preserve">students </w:t>
      </w:r>
      <w:r>
        <w:rPr>
          <w:rFonts w:cs="Arial"/>
          <w:szCs w:val="23"/>
        </w:rPr>
        <w:t>– far more than any other state and one quarter of all E</w:t>
      </w:r>
      <w:r w:rsidR="00E862C5">
        <w:rPr>
          <w:rFonts w:cs="Arial"/>
          <w:szCs w:val="23"/>
        </w:rPr>
        <w:t>Ls</w:t>
      </w:r>
      <w:r>
        <w:rPr>
          <w:rFonts w:cs="Arial"/>
          <w:szCs w:val="23"/>
        </w:rPr>
        <w:t xml:space="preserve"> nationally – and deeply understands the urgent need to improve academic outcomes</w:t>
      </w:r>
      <w:r w:rsidR="008F4C24">
        <w:rPr>
          <w:rFonts w:cs="Arial"/>
          <w:szCs w:val="23"/>
        </w:rPr>
        <w:t xml:space="preserve"> and improve access to academic content</w:t>
      </w:r>
      <w:r>
        <w:rPr>
          <w:rFonts w:cs="Arial"/>
          <w:szCs w:val="23"/>
        </w:rPr>
        <w:t xml:space="preserve"> for these students. As such, California is taking a nat</w:t>
      </w:r>
      <w:r w:rsidR="009B14ED">
        <w:rPr>
          <w:rFonts w:cs="Arial"/>
          <w:szCs w:val="23"/>
        </w:rPr>
        <w:t>ion-leading role in designing a</w:t>
      </w:r>
      <w:r>
        <w:rPr>
          <w:rFonts w:cs="Arial"/>
          <w:szCs w:val="23"/>
        </w:rPr>
        <w:t xml:space="preserve"> progress indicator that </w:t>
      </w:r>
      <w:r w:rsidR="009B14ED">
        <w:rPr>
          <w:rFonts w:cs="Arial"/>
          <w:szCs w:val="23"/>
        </w:rPr>
        <w:t>focuses on both current E</w:t>
      </w:r>
      <w:r w:rsidR="00E862C5">
        <w:rPr>
          <w:rFonts w:cs="Arial"/>
          <w:szCs w:val="23"/>
        </w:rPr>
        <w:t>L</w:t>
      </w:r>
      <w:r w:rsidR="009B14ED">
        <w:rPr>
          <w:rFonts w:cs="Arial"/>
          <w:szCs w:val="23"/>
        </w:rPr>
        <w:t xml:space="preserve">s and those who have transitioned to </w:t>
      </w:r>
      <w:r w:rsidR="003F0C7D">
        <w:rPr>
          <w:rFonts w:cs="Arial"/>
          <w:szCs w:val="23"/>
        </w:rPr>
        <w:t>proficiency</w:t>
      </w:r>
      <w:r w:rsidR="009B14ED">
        <w:rPr>
          <w:rFonts w:cs="Arial"/>
          <w:szCs w:val="23"/>
        </w:rPr>
        <w:t xml:space="preserve">. </w:t>
      </w:r>
      <w:r w:rsidR="008F4C24">
        <w:rPr>
          <w:rFonts w:cs="Arial"/>
          <w:szCs w:val="23"/>
        </w:rPr>
        <w:t>Inclusion of both makes clear to</w:t>
      </w:r>
      <w:r w:rsidR="009B14ED">
        <w:rPr>
          <w:rFonts w:cs="Arial"/>
          <w:szCs w:val="23"/>
        </w:rPr>
        <w:t xml:space="preserve"> educators t</w:t>
      </w:r>
      <w:r w:rsidR="008F4C24">
        <w:rPr>
          <w:rFonts w:cs="Arial"/>
          <w:szCs w:val="23"/>
        </w:rPr>
        <w:t xml:space="preserve">hat </w:t>
      </w:r>
      <w:r w:rsidR="009B14ED">
        <w:rPr>
          <w:rFonts w:cs="Arial"/>
          <w:szCs w:val="23"/>
        </w:rPr>
        <w:t>bring</w:t>
      </w:r>
      <w:r w:rsidR="008F4C24">
        <w:rPr>
          <w:rFonts w:cs="Arial"/>
          <w:szCs w:val="23"/>
        </w:rPr>
        <w:t>ing</w:t>
      </w:r>
      <w:r w:rsidR="009B14ED">
        <w:rPr>
          <w:rFonts w:cs="Arial"/>
          <w:szCs w:val="23"/>
        </w:rPr>
        <w:t xml:space="preserve"> this population to fluency and proficiency </w:t>
      </w:r>
      <w:r w:rsidR="008F4C24">
        <w:rPr>
          <w:rFonts w:cs="Arial"/>
          <w:szCs w:val="23"/>
        </w:rPr>
        <w:t>is the goal</w:t>
      </w:r>
      <w:r w:rsidR="009B14ED">
        <w:rPr>
          <w:rFonts w:cs="Arial"/>
          <w:szCs w:val="23"/>
        </w:rPr>
        <w:t>.</w:t>
      </w:r>
      <w:r w:rsidR="006E622C">
        <w:rPr>
          <w:rFonts w:cs="Arial"/>
          <w:szCs w:val="23"/>
        </w:rPr>
        <w:t xml:space="preserve"> </w:t>
      </w:r>
    </w:p>
    <w:p w14:paraId="5DA7A321" w14:textId="77777777" w:rsidR="00834BC6" w:rsidRPr="00834BC6" w:rsidRDefault="00834BC6" w:rsidP="00B459B3">
      <w:pPr>
        <w:spacing w:after="100" w:afterAutospacing="1"/>
        <w:rPr>
          <w:rFonts w:cs="Arial"/>
          <w:szCs w:val="23"/>
        </w:rPr>
      </w:pPr>
      <w:r w:rsidRPr="00834BC6">
        <w:rPr>
          <w:rFonts w:cs="Arial"/>
          <w:szCs w:val="23"/>
        </w:rPr>
        <w:t xml:space="preserve">In April 2018, the SBE directed the CDE to request a four-year waiver from the ED that, if granted, would allow California to include recently </w:t>
      </w:r>
      <w:r w:rsidR="002060AC">
        <w:rPr>
          <w:rFonts w:cs="Arial"/>
          <w:szCs w:val="23"/>
        </w:rPr>
        <w:t xml:space="preserve">RFEP </w:t>
      </w:r>
      <w:r w:rsidRPr="00834BC6">
        <w:rPr>
          <w:rFonts w:cs="Arial"/>
          <w:szCs w:val="23"/>
        </w:rPr>
        <w:t xml:space="preserve">students in measuring the progress of English learners (ELs) to achieve English language proficiency and provide additional weight for </w:t>
      </w:r>
      <w:r w:rsidR="002060AC">
        <w:rPr>
          <w:rFonts w:cs="Arial"/>
          <w:szCs w:val="23"/>
        </w:rPr>
        <w:t>LTELs</w:t>
      </w:r>
      <w:r w:rsidRPr="00834BC6">
        <w:rPr>
          <w:rFonts w:cs="Arial"/>
          <w:szCs w:val="23"/>
        </w:rPr>
        <w:t xml:space="preserve">. The CDE submitted the waiver request on May 16, 2018. A copy of the waiver request is included in Attachment </w:t>
      </w:r>
      <w:r w:rsidRPr="003F121C">
        <w:rPr>
          <w:rFonts w:cs="Arial"/>
          <w:szCs w:val="23"/>
        </w:rPr>
        <w:t>1</w:t>
      </w:r>
      <w:r w:rsidRPr="00834BC6">
        <w:rPr>
          <w:rFonts w:cs="Arial"/>
          <w:szCs w:val="23"/>
        </w:rPr>
        <w:t>.</w:t>
      </w:r>
    </w:p>
    <w:p w14:paraId="00CC0D63" w14:textId="5561A32D" w:rsidR="00871A9E" w:rsidRDefault="001C59E7" w:rsidP="00B459B3">
      <w:pPr>
        <w:spacing w:after="100" w:afterAutospacing="1"/>
      </w:pPr>
      <w:r>
        <w:rPr>
          <w:rFonts w:cs="Arial"/>
        </w:rPr>
        <w:t xml:space="preserve">The CDE and the SBE received an initial </w:t>
      </w:r>
      <w:r w:rsidR="00432F1E">
        <w:rPr>
          <w:rFonts w:cs="Arial"/>
        </w:rPr>
        <w:t xml:space="preserve">denial </w:t>
      </w:r>
      <w:r>
        <w:rPr>
          <w:rFonts w:cs="Arial"/>
        </w:rPr>
        <w:t xml:space="preserve">letter related to California’s waiver request on </w:t>
      </w:r>
      <w:r w:rsidR="003F121C">
        <w:rPr>
          <w:rFonts w:cs="Arial"/>
        </w:rPr>
        <w:t>October 9</w:t>
      </w:r>
      <w:r w:rsidR="00871A9E">
        <w:rPr>
          <w:rFonts w:cs="Arial"/>
        </w:rPr>
        <w:t xml:space="preserve">, 2018, available in Attachment 2. </w:t>
      </w:r>
      <w:r>
        <w:rPr>
          <w:rFonts w:cs="Arial"/>
        </w:rPr>
        <w:t>In Section 8401 of the Every Student Succeeds Act</w:t>
      </w:r>
      <w:r w:rsidR="00871A9E">
        <w:rPr>
          <w:rFonts w:cs="Arial"/>
        </w:rPr>
        <w:t xml:space="preserve">, the Secretary of Education my issue an initial determination of disapproval, but must offer the State Education Agency </w:t>
      </w:r>
      <w:r>
        <w:t xml:space="preserve">60 days to revise and resubmit the waiver request. </w:t>
      </w:r>
      <w:r w:rsidR="00871A9E">
        <w:t xml:space="preserve">California resubmitted the waiver request on </w:t>
      </w:r>
      <w:r w:rsidR="003F121C">
        <w:t>October</w:t>
      </w:r>
      <w:r w:rsidR="00871A9E">
        <w:t xml:space="preserve"> </w:t>
      </w:r>
      <w:r w:rsidR="003D2D68">
        <w:t>17</w:t>
      </w:r>
      <w:r w:rsidR="00871A9E">
        <w:t xml:space="preserve">, 2018. The </w:t>
      </w:r>
      <w:r>
        <w:t xml:space="preserve">Secretary has 30 days to reconsider her initial determination of the waiver request.  </w:t>
      </w:r>
    </w:p>
    <w:p w14:paraId="2F2A357B" w14:textId="77777777" w:rsidR="00834BC6" w:rsidRPr="00834BC6" w:rsidRDefault="00871A9E" w:rsidP="00871A9E">
      <w:pPr>
        <w:spacing w:after="240"/>
        <w:rPr>
          <w:rFonts w:cs="Arial"/>
          <w:szCs w:val="23"/>
        </w:rPr>
      </w:pPr>
      <w:r>
        <w:t xml:space="preserve">California’s revised waiver request is included in Attachment 3. The content of the waiver request is unchanged; rather California’s arguments in support of the request have been updated based on the content of the Secretary’s </w:t>
      </w:r>
      <w:r w:rsidR="003F121C">
        <w:t>October 9</w:t>
      </w:r>
      <w:r>
        <w:t>, 2018, initial determination of denial letter.</w:t>
      </w:r>
    </w:p>
    <w:p w14:paraId="01528819" w14:textId="77777777" w:rsidR="00834BC6" w:rsidRPr="00834BC6" w:rsidRDefault="00834BC6" w:rsidP="00B459B3">
      <w:pPr>
        <w:spacing w:after="240"/>
        <w:rPr>
          <w:rFonts w:cs="Arial"/>
          <w:szCs w:val="23"/>
        </w:rPr>
      </w:pPr>
      <w:r w:rsidRPr="00834BC6">
        <w:rPr>
          <w:rFonts w:cs="Arial"/>
          <w:szCs w:val="23"/>
        </w:rPr>
        <w:t>The timeline below shows the actions that have occurred following the approval from the SBE.</w:t>
      </w:r>
    </w:p>
    <w:p w14:paraId="504C6C6C" w14:textId="77777777" w:rsidR="00834BC6" w:rsidRPr="00834BC6" w:rsidRDefault="00834BC6" w:rsidP="00B459B3">
      <w:pPr>
        <w:spacing w:after="240"/>
        <w:ind w:left="2880" w:hanging="2880"/>
        <w:rPr>
          <w:rFonts w:cs="Arial"/>
          <w:szCs w:val="23"/>
        </w:rPr>
      </w:pPr>
      <w:r w:rsidRPr="00834BC6">
        <w:rPr>
          <w:rFonts w:cs="Arial"/>
          <w:szCs w:val="23"/>
        </w:rPr>
        <w:t>May 16, 2018</w:t>
      </w:r>
      <w:r w:rsidRPr="00834BC6">
        <w:rPr>
          <w:rFonts w:cs="Arial"/>
          <w:szCs w:val="23"/>
        </w:rPr>
        <w:tab/>
        <w:t>The CDE and SBE submitted the ELPI waiver request to the ED.</w:t>
      </w:r>
    </w:p>
    <w:p w14:paraId="4E4A4B9C" w14:textId="77777777" w:rsidR="00834BC6" w:rsidRPr="00834BC6" w:rsidRDefault="003F121C" w:rsidP="00B459B3">
      <w:pPr>
        <w:spacing w:after="240"/>
        <w:ind w:left="2880" w:hanging="2880"/>
        <w:rPr>
          <w:rFonts w:cs="Arial"/>
          <w:szCs w:val="23"/>
        </w:rPr>
      </w:pPr>
      <w:r>
        <w:rPr>
          <w:rFonts w:cs="Arial"/>
          <w:szCs w:val="23"/>
        </w:rPr>
        <w:t>October 9</w:t>
      </w:r>
      <w:r w:rsidR="00834BC6" w:rsidRPr="00834BC6">
        <w:rPr>
          <w:rFonts w:cs="Arial"/>
          <w:szCs w:val="23"/>
        </w:rPr>
        <w:t>, 2018</w:t>
      </w:r>
      <w:r w:rsidR="00834BC6" w:rsidRPr="00834BC6">
        <w:rPr>
          <w:rFonts w:cs="Arial"/>
          <w:szCs w:val="23"/>
        </w:rPr>
        <w:tab/>
        <w:t>The CDE and SBE received a response from the ED, which provided the CDE and SBE with an opportunity to resubmit a revised waiver request within 60 days.</w:t>
      </w:r>
    </w:p>
    <w:p w14:paraId="205F93D5" w14:textId="22213D0F" w:rsidR="00B459B3" w:rsidRDefault="003F121C" w:rsidP="00B459B3">
      <w:pPr>
        <w:spacing w:after="240"/>
        <w:ind w:left="2880" w:hanging="2880"/>
        <w:rPr>
          <w:rFonts w:cs="Arial"/>
          <w:szCs w:val="23"/>
        </w:rPr>
      </w:pPr>
      <w:r>
        <w:rPr>
          <w:rFonts w:cs="Arial"/>
          <w:szCs w:val="23"/>
        </w:rPr>
        <w:t>October</w:t>
      </w:r>
      <w:r w:rsidR="00834BC6" w:rsidRPr="00834BC6">
        <w:rPr>
          <w:rFonts w:cs="Arial"/>
          <w:szCs w:val="23"/>
        </w:rPr>
        <w:t xml:space="preserve"> </w:t>
      </w:r>
      <w:r w:rsidR="003D2D68">
        <w:rPr>
          <w:rFonts w:cs="Arial"/>
          <w:szCs w:val="23"/>
        </w:rPr>
        <w:t>17</w:t>
      </w:r>
      <w:r w:rsidR="00834BC6" w:rsidRPr="00834BC6">
        <w:rPr>
          <w:rFonts w:cs="Arial"/>
          <w:szCs w:val="23"/>
        </w:rPr>
        <w:t>, 2018</w:t>
      </w:r>
      <w:r w:rsidR="00834BC6" w:rsidRPr="00834BC6">
        <w:rPr>
          <w:rFonts w:cs="Arial"/>
          <w:szCs w:val="23"/>
        </w:rPr>
        <w:tab/>
        <w:t>The CDE and SBE resubmitted the waiver request to the ED.</w:t>
      </w:r>
      <w:r w:rsidR="00B459B3">
        <w:rPr>
          <w:rFonts w:cs="Arial"/>
          <w:szCs w:val="23"/>
        </w:rPr>
        <w:br w:type="page"/>
      </w:r>
    </w:p>
    <w:p w14:paraId="517323F3" w14:textId="77777777" w:rsidR="00057A96" w:rsidRPr="00CB0374" w:rsidRDefault="00057A96" w:rsidP="00E70281">
      <w:pPr>
        <w:pStyle w:val="Heading2"/>
        <w:spacing w:before="240" w:after="0" w:line="360" w:lineRule="auto"/>
        <w:rPr>
          <w:sz w:val="36"/>
        </w:rPr>
      </w:pPr>
      <w:r w:rsidRPr="00CB0374">
        <w:rPr>
          <w:sz w:val="36"/>
        </w:rPr>
        <w:lastRenderedPageBreak/>
        <w:t>Attachment(s)</w:t>
      </w:r>
    </w:p>
    <w:p w14:paraId="4936F280" w14:textId="77777777" w:rsidR="006B57B0" w:rsidRPr="00CB0374" w:rsidRDefault="00621BFC" w:rsidP="001F6728">
      <w:pPr>
        <w:spacing w:after="240"/>
        <w:rPr>
          <w:rFonts w:cs="Arial"/>
        </w:rPr>
      </w:pPr>
      <w:r w:rsidRPr="00CB0374">
        <w:rPr>
          <w:b/>
        </w:rPr>
        <w:t xml:space="preserve">Attachment 1: </w:t>
      </w:r>
      <w:r w:rsidR="00834BC6">
        <w:rPr>
          <w:rFonts w:cs="Arial"/>
        </w:rPr>
        <w:t>California’s waiver request to the ED</w:t>
      </w:r>
      <w:r w:rsidR="001C59E7">
        <w:rPr>
          <w:rFonts w:cs="Arial"/>
        </w:rPr>
        <w:t>, dated May 16, 2018</w:t>
      </w:r>
      <w:r w:rsidR="007C2666" w:rsidRPr="00CB0374">
        <w:rPr>
          <w:rFonts w:cs="Arial"/>
        </w:rPr>
        <w:t xml:space="preserve"> </w:t>
      </w:r>
      <w:r w:rsidR="006B57B0" w:rsidRPr="00CB0374">
        <w:rPr>
          <w:rFonts w:cs="Arial"/>
        </w:rPr>
        <w:t>(</w:t>
      </w:r>
      <w:r w:rsidR="00834BC6">
        <w:rPr>
          <w:rFonts w:cs="Arial"/>
        </w:rPr>
        <w:t>5</w:t>
      </w:r>
      <w:r w:rsidR="006B57B0" w:rsidRPr="00CB0374">
        <w:rPr>
          <w:rFonts w:cs="Arial"/>
        </w:rPr>
        <w:t xml:space="preserve"> Page</w:t>
      </w:r>
      <w:r w:rsidR="00AA2408" w:rsidRPr="00CB0374">
        <w:rPr>
          <w:rFonts w:cs="Arial"/>
        </w:rPr>
        <w:t>s</w:t>
      </w:r>
      <w:r w:rsidR="006B57B0" w:rsidRPr="00CB0374">
        <w:rPr>
          <w:rFonts w:cs="Arial"/>
        </w:rPr>
        <w:t>)</w:t>
      </w:r>
    </w:p>
    <w:p w14:paraId="5C01EE71" w14:textId="77777777" w:rsidR="006B57B0" w:rsidRPr="00CB0374" w:rsidRDefault="006B57B0" w:rsidP="003F121C">
      <w:pPr>
        <w:spacing w:after="240"/>
        <w:ind w:left="1710" w:hanging="1710"/>
        <w:rPr>
          <w:rFonts w:cs="Arial"/>
        </w:rPr>
      </w:pPr>
      <w:r w:rsidRPr="00CB0374">
        <w:rPr>
          <w:b/>
        </w:rPr>
        <w:t>Attachment 2:</w:t>
      </w:r>
      <w:r w:rsidRPr="00CB0374">
        <w:t xml:space="preserve"> </w:t>
      </w:r>
      <w:r w:rsidR="001C59E7">
        <w:rPr>
          <w:rFonts w:cs="Arial"/>
        </w:rPr>
        <w:t xml:space="preserve">ED’s Initial Determination of Disapproval Letter dated </w:t>
      </w:r>
      <w:r w:rsidR="003F121C">
        <w:rPr>
          <w:rFonts w:cs="Arial"/>
        </w:rPr>
        <w:t>October 9</w:t>
      </w:r>
      <w:r w:rsidR="001C59E7">
        <w:rPr>
          <w:rFonts w:cs="Arial"/>
        </w:rPr>
        <w:t>, 2018</w:t>
      </w:r>
      <w:r w:rsidRPr="00CB0374">
        <w:rPr>
          <w:rFonts w:cs="Arial"/>
        </w:rPr>
        <w:t xml:space="preserve"> </w:t>
      </w:r>
      <w:r w:rsidRPr="00CB0374">
        <w:t>(</w:t>
      </w:r>
      <w:r w:rsidR="003F121C">
        <w:t>2</w:t>
      </w:r>
      <w:r w:rsidRPr="00CB0374">
        <w:t xml:space="preserve"> Pages)</w:t>
      </w:r>
    </w:p>
    <w:p w14:paraId="1EE18BDF" w14:textId="7FF0B61F" w:rsidR="005D098F" w:rsidRPr="005D098F" w:rsidRDefault="00331E45" w:rsidP="00B459B3">
      <w:pPr>
        <w:spacing w:after="240"/>
        <w:ind w:left="1620" w:hanging="1620"/>
      </w:pPr>
      <w:r w:rsidRPr="00CB0374">
        <w:rPr>
          <w:b/>
        </w:rPr>
        <w:t>Attachment 3:</w:t>
      </w:r>
      <w:r w:rsidRPr="00CB0374">
        <w:t xml:space="preserve"> </w:t>
      </w:r>
      <w:r w:rsidR="001C59E7">
        <w:t xml:space="preserve">California’s letter to the ED, dated </w:t>
      </w:r>
      <w:r w:rsidR="003F121C">
        <w:t>October</w:t>
      </w:r>
      <w:r w:rsidR="001C59E7">
        <w:t xml:space="preserve"> </w:t>
      </w:r>
      <w:r w:rsidR="003D2D68">
        <w:t>17</w:t>
      </w:r>
      <w:r w:rsidR="001C59E7">
        <w:t>, 2018</w:t>
      </w:r>
      <w:r w:rsidR="007C2666" w:rsidRPr="00CB0374">
        <w:t xml:space="preserve"> </w:t>
      </w:r>
      <w:r w:rsidRPr="00CB0374">
        <w:t>(</w:t>
      </w:r>
      <w:r w:rsidR="003D2D68">
        <w:t>8</w:t>
      </w:r>
      <w:r w:rsidR="002060AC">
        <w:t xml:space="preserve"> Pages</w:t>
      </w:r>
      <w:r w:rsidR="001719DA">
        <w:t>)</w:t>
      </w:r>
    </w:p>
    <w:sectPr w:rsidR="005D098F" w:rsidRPr="005D098F" w:rsidSect="00B459B3">
      <w:type w:val="continuous"/>
      <w:pgSz w:w="12240" w:h="15840"/>
      <w:pgMar w:top="72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B7F0" w16cid:durableId="1F27735C"/>
  <w16cid:commentId w16cid:paraId="1E444C02" w16cid:durableId="1F277438"/>
  <w16cid:commentId w16cid:paraId="65B530C1" w16cid:durableId="1F277464"/>
  <w16cid:commentId w16cid:paraId="7757FAEA" w16cid:durableId="1F277445"/>
  <w16cid:commentId w16cid:paraId="3A51608A" w16cid:durableId="1F27744C"/>
  <w16cid:commentId w16cid:paraId="4CAED8C3" w16cid:durableId="1F277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0835" w14:textId="77777777" w:rsidR="00D949C6" w:rsidRDefault="00D949C6" w:rsidP="009C3ED7">
      <w:r>
        <w:separator/>
      </w:r>
    </w:p>
  </w:endnote>
  <w:endnote w:type="continuationSeparator" w:id="0">
    <w:p w14:paraId="4E6EDA51" w14:textId="77777777" w:rsidR="00D949C6" w:rsidRDefault="00D949C6" w:rsidP="009C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5F1F" w14:textId="77777777" w:rsidR="00D949C6" w:rsidRDefault="00D949C6" w:rsidP="009C3ED7">
      <w:r>
        <w:separator/>
      </w:r>
    </w:p>
  </w:footnote>
  <w:footnote w:type="continuationSeparator" w:id="0">
    <w:p w14:paraId="73F0510B" w14:textId="77777777" w:rsidR="00D949C6" w:rsidRDefault="00D949C6" w:rsidP="009C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A7A7" w14:textId="2AB987D2" w:rsidR="001C59E7" w:rsidRDefault="00B459B3" w:rsidP="00B459B3">
    <w:pPr>
      <w:pStyle w:val="PlainText"/>
      <w:jc w:val="right"/>
      <w:rPr>
        <w:rFonts w:ascii="Arial" w:hAnsi="Arial"/>
        <w:sz w:val="24"/>
        <w:szCs w:val="24"/>
      </w:rPr>
    </w:pPr>
    <w:proofErr w:type="gramStart"/>
    <w:r>
      <w:rPr>
        <w:rFonts w:ascii="Arial" w:hAnsi="Arial"/>
        <w:sz w:val="24"/>
        <w:szCs w:val="24"/>
      </w:rPr>
      <w:t>memo-exec-gad-oct18item02</w:t>
    </w:r>
    <w:proofErr w:type="gramEnd"/>
  </w:p>
  <w:p w14:paraId="3FC604F9" w14:textId="146A06AA" w:rsidR="00B459B3" w:rsidRPr="005D098F" w:rsidRDefault="00B459B3" w:rsidP="00B459B3">
    <w:pPr>
      <w:pStyle w:val="PlainText"/>
      <w:spacing w:after="240"/>
      <w:jc w:val="right"/>
      <w:rPr>
        <w:rFonts w:ascii="Arial" w:hAnsi="Arial"/>
        <w:sz w:val="24"/>
        <w:szCs w:val="24"/>
      </w:rPr>
    </w:pPr>
    <w:r>
      <w:rPr>
        <w:rFonts w:ascii="Arial" w:hAnsi="Arial"/>
        <w:sz w:val="24"/>
        <w:szCs w:val="24"/>
      </w:rPr>
      <w:t xml:space="preserve">Page </w:t>
    </w:r>
    <w:r w:rsidRPr="00B459B3">
      <w:rPr>
        <w:rFonts w:ascii="Arial" w:hAnsi="Arial"/>
        <w:sz w:val="24"/>
        <w:szCs w:val="24"/>
      </w:rPr>
      <w:fldChar w:fldCharType="begin"/>
    </w:r>
    <w:r w:rsidRPr="00B459B3">
      <w:rPr>
        <w:rFonts w:ascii="Arial" w:hAnsi="Arial"/>
        <w:sz w:val="24"/>
        <w:szCs w:val="24"/>
      </w:rPr>
      <w:instrText xml:space="preserve"> PAGE   \* MERGEFORMAT </w:instrText>
    </w:r>
    <w:r w:rsidRPr="00B459B3">
      <w:rPr>
        <w:rFonts w:ascii="Arial" w:hAnsi="Arial"/>
        <w:sz w:val="24"/>
        <w:szCs w:val="24"/>
      </w:rPr>
      <w:fldChar w:fldCharType="separate"/>
    </w:r>
    <w:r w:rsidR="00BC174E">
      <w:rPr>
        <w:rFonts w:ascii="Arial" w:hAnsi="Arial"/>
        <w:noProof/>
        <w:sz w:val="24"/>
        <w:szCs w:val="24"/>
      </w:rPr>
      <w:t>3</w:t>
    </w:r>
    <w:r w:rsidRPr="00B459B3">
      <w:rPr>
        <w:rFonts w:ascii="Arial" w:hAnsi="Arial"/>
        <w:noProof/>
        <w:sz w:val="24"/>
        <w:szCs w:val="24"/>
      </w:rPr>
      <w:fldChar w:fldCharType="end"/>
    </w:r>
    <w:r>
      <w:rPr>
        <w:rFonts w:ascii="Arial" w:hAnsi="Arial"/>
        <w:noProof/>
        <w:sz w:val="24"/>
        <w:szCs w:val="24"/>
      </w:rPr>
      <w:t xml:space="preserve"> </w:t>
    </w:r>
    <w:r>
      <w:rPr>
        <w:rFonts w:ascii="Arial" w:hAnsi="Arial"/>
        <w:sz w:val="24"/>
        <w:szCs w:val="24"/>
      </w:rPr>
      <w:t>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360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81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AC0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003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89A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24B4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0D9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3AD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E28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5E3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20"/>
  </w:num>
  <w:num w:numId="6">
    <w:abstractNumId w:val="21"/>
  </w:num>
  <w:num w:numId="7">
    <w:abstractNumId w:val="11"/>
  </w:num>
  <w:num w:numId="8">
    <w:abstractNumId w:val="19"/>
  </w:num>
  <w:num w:numId="9">
    <w:abstractNumId w:val="15"/>
  </w:num>
  <w:num w:numId="10">
    <w:abstractNumId w:val="17"/>
  </w:num>
  <w:num w:numId="11">
    <w:abstractNumId w:val="18"/>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744B"/>
    <w:rsid w:val="00043B95"/>
    <w:rsid w:val="000477DE"/>
    <w:rsid w:val="00053B2A"/>
    <w:rsid w:val="00057A96"/>
    <w:rsid w:val="00077927"/>
    <w:rsid w:val="000A0CF6"/>
    <w:rsid w:val="000B4F73"/>
    <w:rsid w:val="000C139F"/>
    <w:rsid w:val="0010482F"/>
    <w:rsid w:val="00123AB1"/>
    <w:rsid w:val="00137C87"/>
    <w:rsid w:val="001452FE"/>
    <w:rsid w:val="0016173B"/>
    <w:rsid w:val="001648E9"/>
    <w:rsid w:val="001719DA"/>
    <w:rsid w:val="00184DEF"/>
    <w:rsid w:val="001C59E7"/>
    <w:rsid w:val="001D7FE7"/>
    <w:rsid w:val="001E7097"/>
    <w:rsid w:val="001F6728"/>
    <w:rsid w:val="002060AC"/>
    <w:rsid w:val="00227480"/>
    <w:rsid w:val="002406CC"/>
    <w:rsid w:val="002408E4"/>
    <w:rsid w:val="002726AD"/>
    <w:rsid w:val="0029286A"/>
    <w:rsid w:val="002D2F24"/>
    <w:rsid w:val="002E785B"/>
    <w:rsid w:val="00305F5F"/>
    <w:rsid w:val="00321D49"/>
    <w:rsid w:val="00322C00"/>
    <w:rsid w:val="00325EAA"/>
    <w:rsid w:val="003269CB"/>
    <w:rsid w:val="00331E45"/>
    <w:rsid w:val="00332627"/>
    <w:rsid w:val="0033616F"/>
    <w:rsid w:val="00337BFC"/>
    <w:rsid w:val="003450B5"/>
    <w:rsid w:val="00364C1F"/>
    <w:rsid w:val="003762A0"/>
    <w:rsid w:val="003A2CAE"/>
    <w:rsid w:val="003D2D68"/>
    <w:rsid w:val="003E3B94"/>
    <w:rsid w:val="003F0C7D"/>
    <w:rsid w:val="003F121C"/>
    <w:rsid w:val="003F4971"/>
    <w:rsid w:val="003F6C0B"/>
    <w:rsid w:val="004003D1"/>
    <w:rsid w:val="004038B8"/>
    <w:rsid w:val="004272C0"/>
    <w:rsid w:val="00432F1E"/>
    <w:rsid w:val="00436E2E"/>
    <w:rsid w:val="00440E59"/>
    <w:rsid w:val="00474A2F"/>
    <w:rsid w:val="004D5C50"/>
    <w:rsid w:val="004E121C"/>
    <w:rsid w:val="004F62F9"/>
    <w:rsid w:val="005127C4"/>
    <w:rsid w:val="0051479B"/>
    <w:rsid w:val="00537FE1"/>
    <w:rsid w:val="0054334A"/>
    <w:rsid w:val="00565D1E"/>
    <w:rsid w:val="005B1241"/>
    <w:rsid w:val="005B1325"/>
    <w:rsid w:val="005C3E64"/>
    <w:rsid w:val="005D098F"/>
    <w:rsid w:val="005D600A"/>
    <w:rsid w:val="00615F8B"/>
    <w:rsid w:val="00621BFC"/>
    <w:rsid w:val="006332BB"/>
    <w:rsid w:val="00676760"/>
    <w:rsid w:val="00681207"/>
    <w:rsid w:val="0069442B"/>
    <w:rsid w:val="006977E9"/>
    <w:rsid w:val="006B1E34"/>
    <w:rsid w:val="006B2543"/>
    <w:rsid w:val="006B57B0"/>
    <w:rsid w:val="006C1E4B"/>
    <w:rsid w:val="006C4D7E"/>
    <w:rsid w:val="006E622C"/>
    <w:rsid w:val="006F4D64"/>
    <w:rsid w:val="00704B02"/>
    <w:rsid w:val="00705001"/>
    <w:rsid w:val="00723D90"/>
    <w:rsid w:val="00764F13"/>
    <w:rsid w:val="007A2653"/>
    <w:rsid w:val="007C2666"/>
    <w:rsid w:val="0081110E"/>
    <w:rsid w:val="008213F2"/>
    <w:rsid w:val="00823C9B"/>
    <w:rsid w:val="00834BC6"/>
    <w:rsid w:val="008574B8"/>
    <w:rsid w:val="00864373"/>
    <w:rsid w:val="00871A9E"/>
    <w:rsid w:val="0087605D"/>
    <w:rsid w:val="008A5CAB"/>
    <w:rsid w:val="008B1135"/>
    <w:rsid w:val="008D2B05"/>
    <w:rsid w:val="008F081A"/>
    <w:rsid w:val="008F0F97"/>
    <w:rsid w:val="008F4C24"/>
    <w:rsid w:val="008F6CA0"/>
    <w:rsid w:val="00963290"/>
    <w:rsid w:val="00974F82"/>
    <w:rsid w:val="00982A10"/>
    <w:rsid w:val="009B14ED"/>
    <w:rsid w:val="009C3ED7"/>
    <w:rsid w:val="009C7880"/>
    <w:rsid w:val="009C78E8"/>
    <w:rsid w:val="009E089E"/>
    <w:rsid w:val="00A11875"/>
    <w:rsid w:val="00A25E5A"/>
    <w:rsid w:val="00A35C73"/>
    <w:rsid w:val="00A40462"/>
    <w:rsid w:val="00A4092F"/>
    <w:rsid w:val="00A4375A"/>
    <w:rsid w:val="00A57F23"/>
    <w:rsid w:val="00A60D34"/>
    <w:rsid w:val="00A63887"/>
    <w:rsid w:val="00AA2408"/>
    <w:rsid w:val="00AB4C92"/>
    <w:rsid w:val="00B17D64"/>
    <w:rsid w:val="00B24155"/>
    <w:rsid w:val="00B43EAC"/>
    <w:rsid w:val="00B459B3"/>
    <w:rsid w:val="00B56B81"/>
    <w:rsid w:val="00B623E5"/>
    <w:rsid w:val="00B7170B"/>
    <w:rsid w:val="00B758D7"/>
    <w:rsid w:val="00B76894"/>
    <w:rsid w:val="00B87916"/>
    <w:rsid w:val="00BC174E"/>
    <w:rsid w:val="00BC3667"/>
    <w:rsid w:val="00BC376B"/>
    <w:rsid w:val="00BF7F32"/>
    <w:rsid w:val="00C16A55"/>
    <w:rsid w:val="00C33C6A"/>
    <w:rsid w:val="00C420BB"/>
    <w:rsid w:val="00C47985"/>
    <w:rsid w:val="00C6130A"/>
    <w:rsid w:val="00C61F78"/>
    <w:rsid w:val="00C915C8"/>
    <w:rsid w:val="00C94AF1"/>
    <w:rsid w:val="00CB0374"/>
    <w:rsid w:val="00CC00A0"/>
    <w:rsid w:val="00CC5474"/>
    <w:rsid w:val="00CD07F2"/>
    <w:rsid w:val="00CE32E1"/>
    <w:rsid w:val="00D13A96"/>
    <w:rsid w:val="00D569B3"/>
    <w:rsid w:val="00D81E7D"/>
    <w:rsid w:val="00D846F5"/>
    <w:rsid w:val="00D949C6"/>
    <w:rsid w:val="00DA26C4"/>
    <w:rsid w:val="00DC4D66"/>
    <w:rsid w:val="00DC5FAA"/>
    <w:rsid w:val="00DC788A"/>
    <w:rsid w:val="00DD7F92"/>
    <w:rsid w:val="00E303CC"/>
    <w:rsid w:val="00E32FDC"/>
    <w:rsid w:val="00E449FA"/>
    <w:rsid w:val="00E70281"/>
    <w:rsid w:val="00E73797"/>
    <w:rsid w:val="00E83BA3"/>
    <w:rsid w:val="00E862C5"/>
    <w:rsid w:val="00EA0DE4"/>
    <w:rsid w:val="00EC3FF1"/>
    <w:rsid w:val="00EC65A3"/>
    <w:rsid w:val="00ED6BC5"/>
    <w:rsid w:val="00EE1747"/>
    <w:rsid w:val="00EE3749"/>
    <w:rsid w:val="00EF0CBE"/>
    <w:rsid w:val="00F02B67"/>
    <w:rsid w:val="00F06887"/>
    <w:rsid w:val="00F37CA7"/>
    <w:rsid w:val="00F51993"/>
    <w:rsid w:val="00F81F47"/>
    <w:rsid w:val="00F90187"/>
    <w:rsid w:val="00FD4A54"/>
    <w:rsid w:val="00FD78CB"/>
    <w:rsid w:val="00FE28CD"/>
    <w:rsid w:val="00FE5797"/>
    <w:rsid w:val="00FF738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6884E"/>
  <w15:docId w15:val="{94622B8B-5670-495C-A3EF-E41CB6FE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7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D2F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C3ED7"/>
    <w:pPr>
      <w:tabs>
        <w:tab w:val="center" w:pos="4680"/>
        <w:tab w:val="right" w:pos="9360"/>
      </w:tabs>
    </w:pPr>
  </w:style>
  <w:style w:type="character" w:customStyle="1" w:styleId="HeaderChar">
    <w:name w:val="Header Char"/>
    <w:basedOn w:val="DefaultParagraphFont"/>
    <w:link w:val="Header"/>
    <w:uiPriority w:val="99"/>
    <w:rsid w:val="009C3ED7"/>
    <w:rPr>
      <w:rFonts w:ascii="Arial" w:eastAsia="Times New Roman" w:hAnsi="Arial" w:cs="Times New Roman"/>
      <w:sz w:val="24"/>
      <w:szCs w:val="24"/>
    </w:rPr>
  </w:style>
  <w:style w:type="paragraph" w:styleId="Footer">
    <w:name w:val="footer"/>
    <w:basedOn w:val="Normal"/>
    <w:link w:val="FooterChar"/>
    <w:uiPriority w:val="99"/>
    <w:unhideWhenUsed/>
    <w:rsid w:val="009C3ED7"/>
    <w:pPr>
      <w:tabs>
        <w:tab w:val="center" w:pos="4680"/>
        <w:tab w:val="right" w:pos="9360"/>
      </w:tabs>
    </w:pPr>
  </w:style>
  <w:style w:type="character" w:customStyle="1" w:styleId="FooterChar">
    <w:name w:val="Footer Char"/>
    <w:basedOn w:val="DefaultParagraphFont"/>
    <w:link w:val="Footer"/>
    <w:uiPriority w:val="99"/>
    <w:rsid w:val="009C3ED7"/>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2D2F2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21BFC"/>
    <w:pPr>
      <w:spacing w:after="0" w:line="240" w:lineRule="auto"/>
    </w:pPr>
    <w:rPr>
      <w:rFonts w:ascii="Arial" w:hAnsi="Arial"/>
      <w:sz w:val="24"/>
    </w:rPr>
  </w:style>
  <w:style w:type="character" w:styleId="Hyperlink">
    <w:name w:val="Hyperlink"/>
    <w:rsid w:val="005D098F"/>
    <w:rPr>
      <w:color w:val="0000FF"/>
      <w:u w:val="single"/>
    </w:rPr>
  </w:style>
  <w:style w:type="character" w:customStyle="1" w:styleId="PlainTextChar">
    <w:name w:val="Plain Text Char"/>
    <w:link w:val="PlainText"/>
    <w:locked/>
    <w:rsid w:val="005D098F"/>
    <w:rPr>
      <w:rFonts w:eastAsia="Times" w:cs="Arial"/>
      <w:kern w:val="24"/>
    </w:rPr>
  </w:style>
  <w:style w:type="paragraph" w:styleId="PlainText">
    <w:name w:val="Plain Text"/>
    <w:basedOn w:val="Normal"/>
    <w:link w:val="PlainTextChar"/>
    <w:rsid w:val="005D098F"/>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5D098F"/>
    <w:rPr>
      <w:rFonts w:ascii="Consolas" w:eastAsia="Times New Roman" w:hAnsi="Consolas" w:cs="Times New Roman"/>
      <w:sz w:val="21"/>
      <w:szCs w:val="21"/>
    </w:rPr>
  </w:style>
  <w:style w:type="character" w:styleId="PageNumber">
    <w:name w:val="page number"/>
    <w:rsid w:val="005D098F"/>
    <w:rPr>
      <w:rFonts w:ascii="Helvetica" w:hAnsi="Helvetica" w:cs="Helvetica" w:hint="default"/>
      <w:sz w:val="24"/>
    </w:rPr>
  </w:style>
  <w:style w:type="paragraph" w:styleId="ListParagraph">
    <w:name w:val="List Paragraph"/>
    <w:basedOn w:val="Normal"/>
    <w:uiPriority w:val="34"/>
    <w:qFormat/>
    <w:rsid w:val="009C78E8"/>
    <w:pPr>
      <w:ind w:left="720"/>
      <w:contextualSpacing/>
    </w:pPr>
  </w:style>
  <w:style w:type="table" w:styleId="TableGrid">
    <w:name w:val="Table Grid"/>
    <w:basedOn w:val="TableNormal"/>
    <w:uiPriority w:val="39"/>
    <w:rsid w:val="00ED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E64"/>
    <w:rPr>
      <w:sz w:val="16"/>
      <w:szCs w:val="16"/>
    </w:rPr>
  </w:style>
  <w:style w:type="paragraph" w:styleId="CommentText">
    <w:name w:val="annotation text"/>
    <w:basedOn w:val="Normal"/>
    <w:link w:val="CommentTextChar"/>
    <w:uiPriority w:val="99"/>
    <w:semiHidden/>
    <w:unhideWhenUsed/>
    <w:rsid w:val="005C3E64"/>
    <w:rPr>
      <w:sz w:val="20"/>
      <w:szCs w:val="20"/>
    </w:rPr>
  </w:style>
  <w:style w:type="character" w:customStyle="1" w:styleId="CommentTextChar">
    <w:name w:val="Comment Text Char"/>
    <w:basedOn w:val="DefaultParagraphFont"/>
    <w:link w:val="CommentText"/>
    <w:uiPriority w:val="99"/>
    <w:semiHidden/>
    <w:rsid w:val="005C3E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3E64"/>
    <w:rPr>
      <w:b/>
      <w:bCs/>
    </w:rPr>
  </w:style>
  <w:style w:type="character" w:customStyle="1" w:styleId="CommentSubjectChar">
    <w:name w:val="Comment Subject Char"/>
    <w:basedOn w:val="CommentTextChar"/>
    <w:link w:val="CommentSubject"/>
    <w:uiPriority w:val="99"/>
    <w:semiHidden/>
    <w:rsid w:val="005C3E64"/>
    <w:rPr>
      <w:rFonts w:ascii="Arial" w:eastAsia="Times New Roman" w:hAnsi="Arial" w:cs="Times New Roman"/>
      <w:b/>
      <w:bCs/>
      <w:sz w:val="20"/>
      <w:szCs w:val="20"/>
    </w:rPr>
  </w:style>
  <w:style w:type="table" w:customStyle="1" w:styleId="TableGrid1">
    <w:name w:val="Table Grid1"/>
    <w:basedOn w:val="TableNormal"/>
    <w:next w:val="TableGrid"/>
    <w:uiPriority w:val="39"/>
    <w:rsid w:val="00B17D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2CAE"/>
    <w:rPr>
      <w:color w:val="954F72" w:themeColor="followedHyperlink"/>
      <w:u w:val="single"/>
    </w:rPr>
  </w:style>
  <w:style w:type="paragraph" w:styleId="MessageHeader">
    <w:name w:val="Message Header"/>
    <w:basedOn w:val="Normal"/>
    <w:link w:val="MessageHeaderChar"/>
    <w:uiPriority w:val="99"/>
    <w:unhideWhenUsed/>
    <w:rsid w:val="003F497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3F4971"/>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07540">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16F3-0C92-4F8E-8834-0D2D116C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August 2018 Memo EXEC GAD Item 01 - Information Memorandum (CA State Board of Education)</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2018 Memo EXEC GAD Item 02 - Information Memorandum (CA State Board of Education)</dc:title>
  <dc:subject>Every Student Succeeds Act Implementation Timeline.</dc:subject>
  <dc:creator>Kathleen Souza</dc:creator>
  <cp:keywords/>
  <dc:description/>
  <cp:lastModifiedBy>Malia Gonsalves</cp:lastModifiedBy>
  <cp:revision>5</cp:revision>
  <cp:lastPrinted>2018-10-18T16:12:00Z</cp:lastPrinted>
  <dcterms:created xsi:type="dcterms:W3CDTF">2018-10-18T21:25:00Z</dcterms:created>
  <dcterms:modified xsi:type="dcterms:W3CDTF">2018-10-18T22:35:00Z</dcterms:modified>
</cp:coreProperties>
</file>