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29BC2" w14:textId="77777777" w:rsidR="00FF0A36" w:rsidRPr="005E5E01" w:rsidRDefault="00FF0A36" w:rsidP="00366FA0">
      <w:pPr>
        <w:pStyle w:val="Caption"/>
        <w:keepNext/>
        <w:spacing w:before="0" w:after="0"/>
        <w:rPr>
          <w:highlight w:val="yellow"/>
        </w:rPr>
      </w:pPr>
      <w:r w:rsidRPr="007535C6">
        <w:rPr>
          <w:rFonts w:cs="Arial"/>
          <w:noProof/>
          <w:sz w:val="24"/>
        </w:rPr>
        <w:drawing>
          <wp:inline distT="0" distB="0" distL="0" distR="0" wp14:anchorId="282E2F7E" wp14:editId="0A58776D">
            <wp:extent cx="1666875" cy="1666875"/>
            <wp:effectExtent l="0" t="0" r="0" b="0"/>
            <wp:docPr id="1" name="Picture 4"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Official Seal of the California Department of Education"/>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sidR="00ED4076">
        <w:rPr>
          <w:highlight w:val="yellow"/>
        </w:rPr>
        <w:br w:type="textWrapping" w:clear="all"/>
      </w:r>
    </w:p>
    <w:p w14:paraId="3B3E1FBE" w14:textId="77777777" w:rsidR="00B14B11" w:rsidRDefault="00FF0A36" w:rsidP="00BA654D">
      <w:pPr>
        <w:spacing w:before="960" w:after="1080"/>
        <w:jc w:val="center"/>
        <w:rPr>
          <w:b/>
          <w:sz w:val="36"/>
          <w:szCs w:val="36"/>
        </w:rPr>
      </w:pPr>
      <w:bookmarkStart w:id="0" w:name="_GoBack"/>
      <w:bookmarkEnd w:id="0"/>
      <w:r w:rsidRPr="007535C6">
        <w:rPr>
          <w:b/>
          <w:sz w:val="36"/>
          <w:szCs w:val="36"/>
        </w:rPr>
        <w:t>California Department of Education</w:t>
      </w:r>
    </w:p>
    <w:p w14:paraId="1CB2B4B6" w14:textId="7AE21E75" w:rsidR="00FF0A36" w:rsidRPr="000F41CD" w:rsidRDefault="00BB29E9" w:rsidP="00EB23A9">
      <w:pPr>
        <w:pStyle w:val="Heading1"/>
        <w:rPr>
          <w:sz w:val="36"/>
        </w:rPr>
      </w:pPr>
      <w:bookmarkStart w:id="1" w:name="_Toc89072186"/>
      <w:bookmarkStart w:id="2" w:name="_Toc89072284"/>
      <w:r>
        <w:t>Readin</w:t>
      </w:r>
      <w:r w:rsidRPr="000F41CD">
        <w:t>g Instruction and Intervention Grant Program</w:t>
      </w:r>
      <w:r w:rsidR="00EB23A9">
        <w:rPr>
          <w:sz w:val="36"/>
        </w:rPr>
        <w:br/>
      </w:r>
      <w:r w:rsidR="00FF0A36" w:rsidRPr="000F41CD">
        <w:rPr>
          <w:sz w:val="36"/>
        </w:rPr>
        <w:t>REQUEST FOR APPLICATIONS</w:t>
      </w:r>
      <w:bookmarkEnd w:id="1"/>
      <w:bookmarkEnd w:id="2"/>
    </w:p>
    <w:p w14:paraId="0ECB6191" w14:textId="77777777" w:rsidR="00FF0A36" w:rsidRPr="000F41CD" w:rsidRDefault="00FF0A36" w:rsidP="00565AE6">
      <w:pPr>
        <w:spacing w:before="600" w:after="0"/>
        <w:jc w:val="center"/>
        <w:rPr>
          <w:b/>
          <w:sz w:val="36"/>
        </w:rPr>
      </w:pPr>
      <w:r w:rsidRPr="000F41CD">
        <w:rPr>
          <w:b/>
          <w:sz w:val="36"/>
        </w:rPr>
        <w:t>Application Due Date:</w:t>
      </w:r>
    </w:p>
    <w:p w14:paraId="2B6ABB0A" w14:textId="77777777" w:rsidR="00FF0A36" w:rsidRPr="000F41CD" w:rsidRDefault="000A61BD" w:rsidP="00FF0A36">
      <w:pPr>
        <w:spacing w:after="0"/>
        <w:ind w:hanging="3"/>
        <w:jc w:val="center"/>
        <w:rPr>
          <w:b/>
          <w:sz w:val="36"/>
        </w:rPr>
      </w:pPr>
      <w:r>
        <w:rPr>
          <w:b/>
          <w:sz w:val="36"/>
        </w:rPr>
        <w:t>Friday</w:t>
      </w:r>
      <w:r w:rsidR="007535C6" w:rsidRPr="000F41CD">
        <w:rPr>
          <w:b/>
          <w:sz w:val="36"/>
        </w:rPr>
        <w:t>, January</w:t>
      </w:r>
      <w:r w:rsidR="006F0B02" w:rsidRPr="000F41CD">
        <w:rPr>
          <w:b/>
          <w:sz w:val="36"/>
        </w:rPr>
        <w:t xml:space="preserve"> </w:t>
      </w:r>
      <w:r w:rsidR="00494433">
        <w:rPr>
          <w:b/>
          <w:sz w:val="36"/>
        </w:rPr>
        <w:t>28</w:t>
      </w:r>
      <w:r w:rsidR="00FF0A36" w:rsidRPr="000F41CD">
        <w:rPr>
          <w:b/>
          <w:sz w:val="36"/>
        </w:rPr>
        <w:t xml:space="preserve">, </w:t>
      </w:r>
      <w:r w:rsidR="006F0B02" w:rsidRPr="000F41CD">
        <w:rPr>
          <w:b/>
          <w:sz w:val="36"/>
        </w:rPr>
        <w:t>202</w:t>
      </w:r>
      <w:r w:rsidR="007535C6" w:rsidRPr="000F41CD">
        <w:rPr>
          <w:b/>
          <w:sz w:val="36"/>
        </w:rPr>
        <w:t>2</w:t>
      </w:r>
      <w:r w:rsidR="00FF0A36" w:rsidRPr="000F41CD">
        <w:rPr>
          <w:b/>
          <w:sz w:val="36"/>
        </w:rPr>
        <w:t>,</w:t>
      </w:r>
    </w:p>
    <w:p w14:paraId="38962D6C" w14:textId="77777777" w:rsidR="00FF0A36" w:rsidRPr="000F41CD" w:rsidRDefault="00FF0A36" w:rsidP="00BA654D">
      <w:pPr>
        <w:spacing w:after="360"/>
        <w:jc w:val="center"/>
        <w:rPr>
          <w:b/>
          <w:sz w:val="36"/>
        </w:rPr>
      </w:pPr>
      <w:r w:rsidRPr="000F41CD">
        <w:rPr>
          <w:b/>
          <w:sz w:val="36"/>
        </w:rPr>
        <w:t>by 4</w:t>
      </w:r>
      <w:r w:rsidR="00BD2302">
        <w:rPr>
          <w:b/>
          <w:sz w:val="36"/>
        </w:rPr>
        <w:t xml:space="preserve"> </w:t>
      </w:r>
      <w:r w:rsidRPr="000F41CD">
        <w:rPr>
          <w:b/>
          <w:sz w:val="36"/>
        </w:rPr>
        <w:t>p</w:t>
      </w:r>
      <w:r w:rsidR="00F22109" w:rsidRPr="000F41CD">
        <w:rPr>
          <w:b/>
          <w:sz w:val="36"/>
        </w:rPr>
        <w:t>.</w:t>
      </w:r>
      <w:r w:rsidRPr="000F41CD">
        <w:rPr>
          <w:b/>
          <w:sz w:val="36"/>
        </w:rPr>
        <w:t>m</w:t>
      </w:r>
      <w:r w:rsidR="00F22109" w:rsidRPr="000F41CD">
        <w:rPr>
          <w:b/>
          <w:sz w:val="36"/>
        </w:rPr>
        <w:t>.</w:t>
      </w:r>
    </w:p>
    <w:p w14:paraId="74596A50" w14:textId="77777777" w:rsidR="00FF0A36" w:rsidRPr="0066223E" w:rsidRDefault="00FF0A36" w:rsidP="00BA654D">
      <w:pPr>
        <w:autoSpaceDE w:val="0"/>
        <w:autoSpaceDN w:val="0"/>
        <w:adjustRightInd w:val="0"/>
        <w:spacing w:before="1200"/>
        <w:jc w:val="center"/>
        <w:rPr>
          <w:rFonts w:cs="Arial"/>
          <w:sz w:val="28"/>
          <w:szCs w:val="28"/>
        </w:rPr>
      </w:pPr>
      <w:r w:rsidRPr="0066223E">
        <w:rPr>
          <w:rFonts w:cs="Arial"/>
          <w:sz w:val="28"/>
          <w:szCs w:val="28"/>
        </w:rPr>
        <w:t>Administered by the</w:t>
      </w:r>
    </w:p>
    <w:p w14:paraId="2550765A" w14:textId="77777777" w:rsidR="00FF0A36" w:rsidRPr="0066223E" w:rsidRDefault="00FF0A36" w:rsidP="00FF0A36">
      <w:pPr>
        <w:autoSpaceDE w:val="0"/>
        <w:autoSpaceDN w:val="0"/>
        <w:adjustRightInd w:val="0"/>
        <w:spacing w:after="0"/>
        <w:jc w:val="center"/>
        <w:rPr>
          <w:rFonts w:cs="Arial"/>
          <w:sz w:val="28"/>
          <w:szCs w:val="28"/>
        </w:rPr>
      </w:pPr>
      <w:r w:rsidRPr="0066223E">
        <w:rPr>
          <w:rFonts w:cs="Arial"/>
          <w:sz w:val="28"/>
          <w:szCs w:val="28"/>
        </w:rPr>
        <w:t>California Department of Education</w:t>
      </w:r>
    </w:p>
    <w:p w14:paraId="1AD914C4" w14:textId="77777777" w:rsidR="00BD2302" w:rsidRDefault="00BD2302" w:rsidP="00FF0A36">
      <w:pPr>
        <w:autoSpaceDE w:val="0"/>
        <w:autoSpaceDN w:val="0"/>
        <w:adjustRightInd w:val="0"/>
        <w:spacing w:after="0"/>
        <w:jc w:val="center"/>
        <w:rPr>
          <w:rFonts w:cs="Arial"/>
          <w:sz w:val="28"/>
          <w:szCs w:val="28"/>
        </w:rPr>
      </w:pPr>
      <w:r w:rsidRPr="0066223E">
        <w:rPr>
          <w:rFonts w:cs="Arial"/>
          <w:sz w:val="28"/>
          <w:szCs w:val="28"/>
        </w:rPr>
        <w:t xml:space="preserve">Educator Excellence and Equity Division </w:t>
      </w:r>
    </w:p>
    <w:p w14:paraId="14FE7447" w14:textId="77777777" w:rsidR="00FF0A36" w:rsidRPr="0066223E" w:rsidRDefault="00FF0A36" w:rsidP="00FF0A36">
      <w:pPr>
        <w:autoSpaceDE w:val="0"/>
        <w:autoSpaceDN w:val="0"/>
        <w:adjustRightInd w:val="0"/>
        <w:spacing w:after="0"/>
        <w:jc w:val="center"/>
        <w:rPr>
          <w:rFonts w:cs="Arial"/>
          <w:sz w:val="28"/>
          <w:szCs w:val="28"/>
        </w:rPr>
      </w:pPr>
      <w:r w:rsidRPr="0066223E">
        <w:rPr>
          <w:rFonts w:cs="Arial"/>
          <w:sz w:val="28"/>
          <w:szCs w:val="28"/>
        </w:rPr>
        <w:t>1430 N Street, Suite 4309</w:t>
      </w:r>
    </w:p>
    <w:p w14:paraId="00BF8FCE" w14:textId="77777777" w:rsidR="00FF0A36" w:rsidRPr="0066223E" w:rsidRDefault="00FF0A36" w:rsidP="00FF0A36">
      <w:pPr>
        <w:autoSpaceDE w:val="0"/>
        <w:autoSpaceDN w:val="0"/>
        <w:adjustRightInd w:val="0"/>
        <w:spacing w:after="0"/>
        <w:jc w:val="center"/>
        <w:rPr>
          <w:rFonts w:cs="Arial"/>
          <w:sz w:val="28"/>
          <w:szCs w:val="28"/>
        </w:rPr>
      </w:pPr>
      <w:r w:rsidRPr="0066223E">
        <w:rPr>
          <w:rFonts w:cs="Arial"/>
          <w:sz w:val="28"/>
          <w:szCs w:val="28"/>
        </w:rPr>
        <w:t>Sacramento, CA 95814-5901</w:t>
      </w:r>
    </w:p>
    <w:p w14:paraId="4FFC744D" w14:textId="77777777" w:rsidR="00FF0A36" w:rsidRPr="0066223E" w:rsidRDefault="00FF0A36" w:rsidP="00B14B11">
      <w:pPr>
        <w:autoSpaceDE w:val="0"/>
        <w:autoSpaceDN w:val="0"/>
        <w:adjustRightInd w:val="0"/>
        <w:spacing w:after="0" w:line="288" w:lineRule="atLeast"/>
        <w:jc w:val="center"/>
        <w:rPr>
          <w:rFonts w:cs="Arial"/>
          <w:color w:val="000000"/>
          <w:sz w:val="28"/>
          <w:szCs w:val="28"/>
        </w:rPr>
      </w:pPr>
      <w:r w:rsidRPr="0066223E">
        <w:rPr>
          <w:rFonts w:cs="Arial"/>
          <w:sz w:val="28"/>
          <w:szCs w:val="28"/>
        </w:rPr>
        <w:t xml:space="preserve">Phone: </w:t>
      </w:r>
      <w:r w:rsidR="003F23FC" w:rsidRPr="0066223E">
        <w:rPr>
          <w:rFonts w:cs="Arial"/>
          <w:color w:val="000000"/>
          <w:sz w:val="28"/>
          <w:szCs w:val="28"/>
        </w:rPr>
        <w:t>916-322-9503</w:t>
      </w:r>
    </w:p>
    <w:p w14:paraId="23069D18" w14:textId="3882D5C1" w:rsidR="005D1509" w:rsidRDefault="00D36F0E" w:rsidP="00ED4076">
      <w:pPr>
        <w:autoSpaceDE w:val="0"/>
        <w:autoSpaceDN w:val="0"/>
        <w:adjustRightInd w:val="0"/>
        <w:spacing w:line="288" w:lineRule="atLeast"/>
        <w:jc w:val="center"/>
        <w:rPr>
          <w:sz w:val="28"/>
          <w:szCs w:val="28"/>
        </w:rPr>
        <w:sectPr w:rsidR="005D1509" w:rsidSect="009C5D5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hyperlink r:id="rId18" w:tooltip="RII Email" w:history="1">
        <w:r w:rsidR="00B14B11" w:rsidRPr="0066223E">
          <w:rPr>
            <w:rStyle w:val="Hyperlink"/>
            <w:sz w:val="28"/>
            <w:szCs w:val="28"/>
          </w:rPr>
          <w:t>RII@cde.ca.gov</w:t>
        </w:r>
      </w:hyperlink>
      <w:r w:rsidR="00B14B11" w:rsidRPr="00B14B11">
        <w:rPr>
          <w:sz w:val="28"/>
          <w:szCs w:val="28"/>
        </w:rPr>
        <w:t xml:space="preserve"> </w:t>
      </w:r>
      <w:bookmarkStart w:id="3" w:name="_Toc23804178"/>
      <w:bookmarkStart w:id="4" w:name="_Toc23804575"/>
      <w:bookmarkStart w:id="5" w:name="_Toc23953098"/>
      <w:bookmarkStart w:id="6" w:name="_Toc33794095"/>
      <w:bookmarkStart w:id="7" w:name="_Toc33800027"/>
      <w:bookmarkStart w:id="8" w:name="_Toc34036260"/>
      <w:bookmarkStart w:id="9" w:name="_Toc83900951"/>
    </w:p>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Start w:id="10" w:name="_Toc86663820" w:displacedByCustomXml="next"/>
    <w:bookmarkStart w:id="11" w:name="_Toc89072188" w:displacedByCustomXml="next"/>
    <w:sdt>
      <w:sdtPr>
        <w:rPr>
          <w:rFonts w:eastAsiaTheme="minorHAnsi" w:cstheme="minorBidi"/>
          <w:b w:val="0"/>
          <w:sz w:val="24"/>
          <w:szCs w:val="22"/>
        </w:rPr>
        <w:id w:val="1561213006"/>
        <w:docPartObj>
          <w:docPartGallery w:val="Table of Contents"/>
          <w:docPartUnique/>
        </w:docPartObj>
      </w:sdtPr>
      <w:sdtEndPr>
        <w:rPr>
          <w:bCs/>
          <w:noProof/>
        </w:rPr>
      </w:sdtEndPr>
      <w:sdtContent>
        <w:p w14:paraId="1C3C2238" w14:textId="621C694B" w:rsidR="007A283B" w:rsidRPr="007A283B" w:rsidRDefault="007A283B" w:rsidP="007A283B">
          <w:pPr>
            <w:pStyle w:val="Heading2"/>
            <w:jc w:val="center"/>
            <w:rPr>
              <w:noProof/>
            </w:rPr>
          </w:pPr>
          <w:r>
            <w:t>Table of Contents</w:t>
          </w:r>
          <w:r>
            <w:fldChar w:fldCharType="begin"/>
          </w:r>
          <w:r>
            <w:instrText xml:space="preserve"> TOC \o "1-3" \h \z \u </w:instrText>
          </w:r>
          <w:r>
            <w:fldChar w:fldCharType="separate"/>
          </w:r>
        </w:p>
        <w:p w14:paraId="49F990B1" w14:textId="08B6E229" w:rsidR="007A283B" w:rsidRDefault="00D36F0E" w:rsidP="007A283B">
          <w:pPr>
            <w:pStyle w:val="TOC2"/>
            <w:rPr>
              <w:rFonts w:asciiTheme="minorHAnsi" w:eastAsiaTheme="minorEastAsia" w:hAnsiTheme="minorHAnsi"/>
              <w:sz w:val="22"/>
            </w:rPr>
          </w:pPr>
          <w:hyperlink w:anchor="_Toc89072285" w:history="1">
            <w:r w:rsidR="007A283B" w:rsidRPr="00E61831">
              <w:rPr>
                <w:rStyle w:val="Hyperlink"/>
              </w:rPr>
              <w:t>1.</w:t>
            </w:r>
            <w:r w:rsidR="007A283B">
              <w:rPr>
                <w:rFonts w:asciiTheme="minorHAnsi" w:eastAsiaTheme="minorEastAsia" w:hAnsiTheme="minorHAnsi"/>
                <w:sz w:val="22"/>
              </w:rPr>
              <w:tab/>
            </w:r>
            <w:r w:rsidR="007A283B" w:rsidRPr="00E61831">
              <w:rPr>
                <w:rStyle w:val="Hyperlink"/>
              </w:rPr>
              <w:t>Overview</w:t>
            </w:r>
            <w:r w:rsidR="007A283B">
              <w:rPr>
                <w:webHidden/>
              </w:rPr>
              <w:tab/>
            </w:r>
            <w:r w:rsidR="007A283B">
              <w:rPr>
                <w:webHidden/>
              </w:rPr>
              <w:fldChar w:fldCharType="begin"/>
            </w:r>
            <w:r w:rsidR="007A283B">
              <w:rPr>
                <w:webHidden/>
              </w:rPr>
              <w:instrText xml:space="preserve"> PAGEREF _Toc89072285 \h </w:instrText>
            </w:r>
            <w:r w:rsidR="007A283B">
              <w:rPr>
                <w:webHidden/>
              </w:rPr>
            </w:r>
            <w:r w:rsidR="007A283B">
              <w:rPr>
                <w:webHidden/>
              </w:rPr>
              <w:fldChar w:fldCharType="separate"/>
            </w:r>
            <w:r w:rsidR="002224EB">
              <w:rPr>
                <w:webHidden/>
              </w:rPr>
              <w:t>1</w:t>
            </w:r>
            <w:r w:rsidR="007A283B">
              <w:rPr>
                <w:webHidden/>
              </w:rPr>
              <w:fldChar w:fldCharType="end"/>
            </w:r>
          </w:hyperlink>
        </w:p>
        <w:p w14:paraId="0630A1AF" w14:textId="22F78BA0" w:rsidR="007A283B" w:rsidRDefault="00D36F0E" w:rsidP="00D70C61">
          <w:pPr>
            <w:pStyle w:val="TOC3"/>
            <w:rPr>
              <w:rFonts w:asciiTheme="minorHAnsi" w:eastAsiaTheme="minorEastAsia" w:hAnsiTheme="minorHAnsi"/>
              <w:noProof/>
              <w:sz w:val="22"/>
            </w:rPr>
          </w:pPr>
          <w:hyperlink w:anchor="_Toc89072286" w:history="1">
            <w:r w:rsidR="007A283B" w:rsidRPr="00E61831">
              <w:rPr>
                <w:rStyle w:val="Hyperlink"/>
                <w:iCs/>
                <w:noProof/>
              </w:rPr>
              <w:t>A.</w:t>
            </w:r>
            <w:r w:rsidR="007A283B">
              <w:rPr>
                <w:rFonts w:asciiTheme="minorHAnsi" w:eastAsiaTheme="minorEastAsia" w:hAnsiTheme="minorHAnsi"/>
                <w:noProof/>
                <w:sz w:val="22"/>
              </w:rPr>
              <w:tab/>
            </w:r>
            <w:r w:rsidR="007A283B" w:rsidRPr="00E61831">
              <w:rPr>
                <w:rStyle w:val="Hyperlink"/>
                <w:noProof/>
              </w:rPr>
              <w:t>Alignment to the Statewide System of Support</w:t>
            </w:r>
            <w:r w:rsidR="007A283B">
              <w:rPr>
                <w:noProof/>
                <w:webHidden/>
              </w:rPr>
              <w:tab/>
            </w:r>
            <w:r w:rsidR="007A283B">
              <w:rPr>
                <w:noProof/>
                <w:webHidden/>
              </w:rPr>
              <w:fldChar w:fldCharType="begin"/>
            </w:r>
            <w:r w:rsidR="007A283B">
              <w:rPr>
                <w:noProof/>
                <w:webHidden/>
              </w:rPr>
              <w:instrText xml:space="preserve"> PAGEREF _Toc89072286 \h </w:instrText>
            </w:r>
            <w:r w:rsidR="007A283B">
              <w:rPr>
                <w:noProof/>
                <w:webHidden/>
              </w:rPr>
            </w:r>
            <w:r w:rsidR="007A283B">
              <w:rPr>
                <w:noProof/>
                <w:webHidden/>
              </w:rPr>
              <w:fldChar w:fldCharType="separate"/>
            </w:r>
            <w:r w:rsidR="002224EB">
              <w:rPr>
                <w:noProof/>
                <w:webHidden/>
              </w:rPr>
              <w:t>1</w:t>
            </w:r>
            <w:r w:rsidR="007A283B">
              <w:rPr>
                <w:noProof/>
                <w:webHidden/>
              </w:rPr>
              <w:fldChar w:fldCharType="end"/>
            </w:r>
          </w:hyperlink>
        </w:p>
        <w:p w14:paraId="12B75FB7" w14:textId="4029A1F9" w:rsidR="007A283B" w:rsidRDefault="00D36F0E" w:rsidP="00D70C61">
          <w:pPr>
            <w:pStyle w:val="TOC3"/>
            <w:rPr>
              <w:rFonts w:asciiTheme="minorHAnsi" w:eastAsiaTheme="minorEastAsia" w:hAnsiTheme="minorHAnsi"/>
              <w:noProof/>
              <w:sz w:val="22"/>
            </w:rPr>
          </w:pPr>
          <w:hyperlink w:anchor="_Toc89072287" w:history="1">
            <w:r w:rsidR="007A283B" w:rsidRPr="00E61831">
              <w:rPr>
                <w:rStyle w:val="Hyperlink"/>
                <w:iCs/>
                <w:noProof/>
              </w:rPr>
              <w:t>B.</w:t>
            </w:r>
            <w:r w:rsidR="007A283B">
              <w:rPr>
                <w:rFonts w:asciiTheme="minorHAnsi" w:eastAsiaTheme="minorEastAsia" w:hAnsiTheme="minorHAnsi"/>
                <w:noProof/>
                <w:sz w:val="22"/>
              </w:rPr>
              <w:tab/>
            </w:r>
            <w:r w:rsidR="007A283B" w:rsidRPr="00E61831">
              <w:rPr>
                <w:rStyle w:val="Hyperlink"/>
                <w:noProof/>
              </w:rPr>
              <w:t>Alignment to State Literacy Initiatives</w:t>
            </w:r>
            <w:r w:rsidR="007A283B">
              <w:rPr>
                <w:noProof/>
                <w:webHidden/>
              </w:rPr>
              <w:tab/>
            </w:r>
            <w:r w:rsidR="007A283B">
              <w:rPr>
                <w:noProof/>
                <w:webHidden/>
              </w:rPr>
              <w:fldChar w:fldCharType="begin"/>
            </w:r>
            <w:r w:rsidR="007A283B">
              <w:rPr>
                <w:noProof/>
                <w:webHidden/>
              </w:rPr>
              <w:instrText xml:space="preserve"> PAGEREF _Toc89072287 \h </w:instrText>
            </w:r>
            <w:r w:rsidR="007A283B">
              <w:rPr>
                <w:noProof/>
                <w:webHidden/>
              </w:rPr>
            </w:r>
            <w:r w:rsidR="007A283B">
              <w:rPr>
                <w:noProof/>
                <w:webHidden/>
              </w:rPr>
              <w:fldChar w:fldCharType="separate"/>
            </w:r>
            <w:r w:rsidR="002224EB">
              <w:rPr>
                <w:noProof/>
                <w:webHidden/>
              </w:rPr>
              <w:t>7</w:t>
            </w:r>
            <w:r w:rsidR="007A283B">
              <w:rPr>
                <w:noProof/>
                <w:webHidden/>
              </w:rPr>
              <w:fldChar w:fldCharType="end"/>
            </w:r>
          </w:hyperlink>
        </w:p>
        <w:p w14:paraId="1FDF983E" w14:textId="14D4655A" w:rsidR="007A283B" w:rsidRDefault="00D36F0E" w:rsidP="007A283B">
          <w:pPr>
            <w:pStyle w:val="TOC2"/>
            <w:rPr>
              <w:rFonts w:asciiTheme="minorHAnsi" w:eastAsiaTheme="minorEastAsia" w:hAnsiTheme="minorHAnsi"/>
              <w:sz w:val="22"/>
            </w:rPr>
          </w:pPr>
          <w:hyperlink w:anchor="_Toc89072288" w:history="1">
            <w:r w:rsidR="007A283B" w:rsidRPr="00E61831">
              <w:rPr>
                <w:rStyle w:val="Hyperlink"/>
              </w:rPr>
              <w:t>2.</w:t>
            </w:r>
            <w:r w:rsidR="007A283B">
              <w:rPr>
                <w:rFonts w:asciiTheme="minorHAnsi" w:eastAsiaTheme="minorEastAsia" w:hAnsiTheme="minorHAnsi"/>
                <w:sz w:val="22"/>
              </w:rPr>
              <w:tab/>
            </w:r>
            <w:r w:rsidR="007A283B" w:rsidRPr="00E61831">
              <w:rPr>
                <w:rStyle w:val="Hyperlink"/>
              </w:rPr>
              <w:t>Program Description</w:t>
            </w:r>
            <w:r w:rsidR="007A283B">
              <w:rPr>
                <w:webHidden/>
              </w:rPr>
              <w:tab/>
            </w:r>
            <w:r w:rsidR="007A283B">
              <w:rPr>
                <w:webHidden/>
              </w:rPr>
              <w:fldChar w:fldCharType="begin"/>
            </w:r>
            <w:r w:rsidR="007A283B">
              <w:rPr>
                <w:webHidden/>
              </w:rPr>
              <w:instrText xml:space="preserve"> PAGEREF _Toc89072288 \h </w:instrText>
            </w:r>
            <w:r w:rsidR="007A283B">
              <w:rPr>
                <w:webHidden/>
              </w:rPr>
            </w:r>
            <w:r w:rsidR="007A283B">
              <w:rPr>
                <w:webHidden/>
              </w:rPr>
              <w:fldChar w:fldCharType="separate"/>
            </w:r>
            <w:r w:rsidR="002224EB">
              <w:rPr>
                <w:webHidden/>
              </w:rPr>
              <w:t>7</w:t>
            </w:r>
            <w:r w:rsidR="007A283B">
              <w:rPr>
                <w:webHidden/>
              </w:rPr>
              <w:fldChar w:fldCharType="end"/>
            </w:r>
          </w:hyperlink>
        </w:p>
        <w:p w14:paraId="5FE0552B" w14:textId="6B1FF871" w:rsidR="007A283B" w:rsidRDefault="00D36F0E" w:rsidP="00D70C61">
          <w:pPr>
            <w:pStyle w:val="TOC3"/>
            <w:rPr>
              <w:rFonts w:asciiTheme="minorHAnsi" w:eastAsiaTheme="minorEastAsia" w:hAnsiTheme="minorHAnsi"/>
              <w:noProof/>
              <w:sz w:val="22"/>
            </w:rPr>
          </w:pPr>
          <w:hyperlink w:anchor="_Toc89072289" w:history="1">
            <w:r w:rsidR="007A283B" w:rsidRPr="00E61831">
              <w:rPr>
                <w:rStyle w:val="Hyperlink"/>
                <w:noProof/>
              </w:rPr>
              <w:t>A.</w:t>
            </w:r>
            <w:r w:rsidR="007A283B">
              <w:rPr>
                <w:rFonts w:asciiTheme="minorHAnsi" w:eastAsiaTheme="minorEastAsia" w:hAnsiTheme="minorHAnsi"/>
                <w:noProof/>
                <w:sz w:val="22"/>
              </w:rPr>
              <w:tab/>
            </w:r>
            <w:r w:rsidR="007A283B" w:rsidRPr="00E61831">
              <w:rPr>
                <w:rStyle w:val="Hyperlink"/>
                <w:noProof/>
              </w:rPr>
              <w:t>Eligibility Requirements</w:t>
            </w:r>
            <w:r w:rsidR="007A283B">
              <w:rPr>
                <w:noProof/>
                <w:webHidden/>
              </w:rPr>
              <w:tab/>
            </w:r>
            <w:r w:rsidR="007A283B">
              <w:rPr>
                <w:noProof/>
                <w:webHidden/>
              </w:rPr>
              <w:fldChar w:fldCharType="begin"/>
            </w:r>
            <w:r w:rsidR="007A283B">
              <w:rPr>
                <w:noProof/>
                <w:webHidden/>
              </w:rPr>
              <w:instrText xml:space="preserve"> PAGEREF _Toc89072289 \h </w:instrText>
            </w:r>
            <w:r w:rsidR="007A283B">
              <w:rPr>
                <w:noProof/>
                <w:webHidden/>
              </w:rPr>
            </w:r>
            <w:r w:rsidR="007A283B">
              <w:rPr>
                <w:noProof/>
                <w:webHidden/>
              </w:rPr>
              <w:fldChar w:fldCharType="separate"/>
            </w:r>
            <w:r w:rsidR="002224EB">
              <w:rPr>
                <w:noProof/>
                <w:webHidden/>
              </w:rPr>
              <w:t>7</w:t>
            </w:r>
            <w:r w:rsidR="007A283B">
              <w:rPr>
                <w:noProof/>
                <w:webHidden/>
              </w:rPr>
              <w:fldChar w:fldCharType="end"/>
            </w:r>
          </w:hyperlink>
        </w:p>
        <w:p w14:paraId="3C3039DF" w14:textId="05FE22CF" w:rsidR="007A283B" w:rsidRDefault="00D36F0E" w:rsidP="00D70C61">
          <w:pPr>
            <w:pStyle w:val="TOC3"/>
            <w:rPr>
              <w:rFonts w:asciiTheme="minorHAnsi" w:eastAsiaTheme="minorEastAsia" w:hAnsiTheme="minorHAnsi"/>
              <w:noProof/>
              <w:sz w:val="22"/>
            </w:rPr>
          </w:pPr>
          <w:hyperlink w:anchor="_Toc89072290" w:history="1">
            <w:r w:rsidR="007A283B" w:rsidRPr="00E61831">
              <w:rPr>
                <w:rStyle w:val="Hyperlink"/>
                <w:noProof/>
              </w:rPr>
              <w:t>B.</w:t>
            </w:r>
            <w:r w:rsidR="007A283B">
              <w:rPr>
                <w:rFonts w:asciiTheme="minorHAnsi" w:eastAsiaTheme="minorEastAsia" w:hAnsiTheme="minorHAnsi"/>
                <w:noProof/>
                <w:sz w:val="22"/>
              </w:rPr>
              <w:tab/>
            </w:r>
            <w:r w:rsidR="007A283B" w:rsidRPr="00E61831">
              <w:rPr>
                <w:rStyle w:val="Hyperlink"/>
                <w:noProof/>
              </w:rPr>
              <w:t>Goals</w:t>
            </w:r>
            <w:r w:rsidR="007A283B">
              <w:rPr>
                <w:noProof/>
                <w:webHidden/>
              </w:rPr>
              <w:tab/>
            </w:r>
            <w:r w:rsidR="007A283B">
              <w:rPr>
                <w:noProof/>
                <w:webHidden/>
              </w:rPr>
              <w:fldChar w:fldCharType="begin"/>
            </w:r>
            <w:r w:rsidR="007A283B">
              <w:rPr>
                <w:noProof/>
                <w:webHidden/>
              </w:rPr>
              <w:instrText xml:space="preserve"> PAGEREF _Toc89072290 \h </w:instrText>
            </w:r>
            <w:r w:rsidR="007A283B">
              <w:rPr>
                <w:noProof/>
                <w:webHidden/>
              </w:rPr>
            </w:r>
            <w:r w:rsidR="007A283B">
              <w:rPr>
                <w:noProof/>
                <w:webHidden/>
              </w:rPr>
              <w:fldChar w:fldCharType="separate"/>
            </w:r>
            <w:r w:rsidR="002224EB">
              <w:rPr>
                <w:noProof/>
                <w:webHidden/>
              </w:rPr>
              <w:t>8</w:t>
            </w:r>
            <w:r w:rsidR="007A283B">
              <w:rPr>
                <w:noProof/>
                <w:webHidden/>
              </w:rPr>
              <w:fldChar w:fldCharType="end"/>
            </w:r>
          </w:hyperlink>
        </w:p>
        <w:p w14:paraId="21290564" w14:textId="2BB2C5D5" w:rsidR="007A283B" w:rsidRDefault="00D36F0E" w:rsidP="00D70C61">
          <w:pPr>
            <w:pStyle w:val="TOC3"/>
            <w:rPr>
              <w:rFonts w:asciiTheme="minorHAnsi" w:eastAsiaTheme="minorEastAsia" w:hAnsiTheme="minorHAnsi"/>
              <w:noProof/>
              <w:sz w:val="22"/>
            </w:rPr>
          </w:pPr>
          <w:hyperlink w:anchor="_Toc89072291" w:history="1">
            <w:r w:rsidR="007A283B" w:rsidRPr="00E61831">
              <w:rPr>
                <w:rStyle w:val="Hyperlink"/>
                <w:noProof/>
              </w:rPr>
              <w:t>C.</w:t>
            </w:r>
            <w:r w:rsidR="007A283B">
              <w:rPr>
                <w:rFonts w:asciiTheme="minorHAnsi" w:eastAsiaTheme="minorEastAsia" w:hAnsiTheme="minorHAnsi"/>
                <w:noProof/>
                <w:sz w:val="22"/>
              </w:rPr>
              <w:tab/>
            </w:r>
            <w:r w:rsidR="007A283B" w:rsidRPr="00E61831">
              <w:rPr>
                <w:rStyle w:val="Hyperlink"/>
                <w:noProof/>
              </w:rPr>
              <w:t>Responsibilities of the Grantee</w:t>
            </w:r>
            <w:r w:rsidR="007A283B">
              <w:rPr>
                <w:noProof/>
                <w:webHidden/>
              </w:rPr>
              <w:tab/>
            </w:r>
            <w:r w:rsidR="007A283B">
              <w:rPr>
                <w:noProof/>
                <w:webHidden/>
              </w:rPr>
              <w:fldChar w:fldCharType="begin"/>
            </w:r>
            <w:r w:rsidR="007A283B">
              <w:rPr>
                <w:noProof/>
                <w:webHidden/>
              </w:rPr>
              <w:instrText xml:space="preserve"> PAGEREF _Toc89072291 \h </w:instrText>
            </w:r>
            <w:r w:rsidR="007A283B">
              <w:rPr>
                <w:noProof/>
                <w:webHidden/>
              </w:rPr>
            </w:r>
            <w:r w:rsidR="007A283B">
              <w:rPr>
                <w:noProof/>
                <w:webHidden/>
              </w:rPr>
              <w:fldChar w:fldCharType="separate"/>
            </w:r>
            <w:r w:rsidR="002224EB">
              <w:rPr>
                <w:noProof/>
                <w:webHidden/>
              </w:rPr>
              <w:t>13</w:t>
            </w:r>
            <w:r w:rsidR="007A283B">
              <w:rPr>
                <w:noProof/>
                <w:webHidden/>
              </w:rPr>
              <w:fldChar w:fldCharType="end"/>
            </w:r>
          </w:hyperlink>
        </w:p>
        <w:p w14:paraId="3DC09DF4" w14:textId="175626A0" w:rsidR="007A283B" w:rsidRDefault="00D36F0E" w:rsidP="00D70C61">
          <w:pPr>
            <w:pStyle w:val="TOC3"/>
            <w:rPr>
              <w:rFonts w:asciiTheme="minorHAnsi" w:eastAsiaTheme="minorEastAsia" w:hAnsiTheme="minorHAnsi"/>
              <w:noProof/>
              <w:sz w:val="22"/>
            </w:rPr>
          </w:pPr>
          <w:hyperlink w:anchor="_Toc89072292" w:history="1">
            <w:r w:rsidR="007A283B" w:rsidRPr="00E61831">
              <w:rPr>
                <w:rStyle w:val="Hyperlink"/>
                <w:noProof/>
              </w:rPr>
              <w:t>D.</w:t>
            </w:r>
            <w:r w:rsidR="007A283B">
              <w:rPr>
                <w:rFonts w:asciiTheme="minorHAnsi" w:eastAsiaTheme="minorEastAsia" w:hAnsiTheme="minorHAnsi"/>
                <w:noProof/>
                <w:sz w:val="22"/>
              </w:rPr>
              <w:tab/>
            </w:r>
            <w:r w:rsidR="007A283B" w:rsidRPr="00E61831">
              <w:rPr>
                <w:rStyle w:val="Hyperlink"/>
                <w:noProof/>
              </w:rPr>
              <w:t>Allowable and Non-Allowable Activities and Costs</w:t>
            </w:r>
            <w:r w:rsidR="007A283B">
              <w:rPr>
                <w:noProof/>
                <w:webHidden/>
              </w:rPr>
              <w:tab/>
            </w:r>
            <w:r w:rsidR="007A283B">
              <w:rPr>
                <w:noProof/>
                <w:webHidden/>
              </w:rPr>
              <w:fldChar w:fldCharType="begin"/>
            </w:r>
            <w:r w:rsidR="007A283B">
              <w:rPr>
                <w:noProof/>
                <w:webHidden/>
              </w:rPr>
              <w:instrText xml:space="preserve"> PAGEREF _Toc89072292 \h </w:instrText>
            </w:r>
            <w:r w:rsidR="007A283B">
              <w:rPr>
                <w:noProof/>
                <w:webHidden/>
              </w:rPr>
            </w:r>
            <w:r w:rsidR="007A283B">
              <w:rPr>
                <w:noProof/>
                <w:webHidden/>
              </w:rPr>
              <w:fldChar w:fldCharType="separate"/>
            </w:r>
            <w:r w:rsidR="002224EB">
              <w:rPr>
                <w:noProof/>
                <w:webHidden/>
              </w:rPr>
              <w:t>13</w:t>
            </w:r>
            <w:r w:rsidR="007A283B">
              <w:rPr>
                <w:noProof/>
                <w:webHidden/>
              </w:rPr>
              <w:fldChar w:fldCharType="end"/>
            </w:r>
          </w:hyperlink>
        </w:p>
        <w:p w14:paraId="21785E34" w14:textId="34A31FBE" w:rsidR="007A283B" w:rsidRDefault="00D36F0E" w:rsidP="00D70C61">
          <w:pPr>
            <w:pStyle w:val="TOC3"/>
            <w:rPr>
              <w:rFonts w:asciiTheme="minorHAnsi" w:eastAsiaTheme="minorEastAsia" w:hAnsiTheme="minorHAnsi"/>
              <w:noProof/>
              <w:sz w:val="22"/>
            </w:rPr>
          </w:pPr>
          <w:hyperlink w:anchor="_Toc89072293" w:history="1">
            <w:r w:rsidR="007A283B" w:rsidRPr="00E61831">
              <w:rPr>
                <w:rStyle w:val="Hyperlink"/>
                <w:noProof/>
              </w:rPr>
              <w:t>E.</w:t>
            </w:r>
            <w:r w:rsidR="007A283B">
              <w:rPr>
                <w:rFonts w:asciiTheme="minorHAnsi" w:eastAsiaTheme="minorEastAsia" w:hAnsiTheme="minorHAnsi"/>
                <w:noProof/>
                <w:sz w:val="22"/>
              </w:rPr>
              <w:tab/>
            </w:r>
            <w:r w:rsidR="007A283B" w:rsidRPr="00E61831">
              <w:rPr>
                <w:rStyle w:val="Hyperlink"/>
                <w:noProof/>
              </w:rPr>
              <w:t>Administrative Indirect Cost Rate</w:t>
            </w:r>
            <w:r w:rsidR="007A283B">
              <w:rPr>
                <w:noProof/>
                <w:webHidden/>
              </w:rPr>
              <w:tab/>
            </w:r>
            <w:r w:rsidR="007A283B">
              <w:rPr>
                <w:noProof/>
                <w:webHidden/>
              </w:rPr>
              <w:fldChar w:fldCharType="begin"/>
            </w:r>
            <w:r w:rsidR="007A283B">
              <w:rPr>
                <w:noProof/>
                <w:webHidden/>
              </w:rPr>
              <w:instrText xml:space="preserve"> PAGEREF _Toc89072293 \h </w:instrText>
            </w:r>
            <w:r w:rsidR="007A283B">
              <w:rPr>
                <w:noProof/>
                <w:webHidden/>
              </w:rPr>
            </w:r>
            <w:r w:rsidR="007A283B">
              <w:rPr>
                <w:noProof/>
                <w:webHidden/>
              </w:rPr>
              <w:fldChar w:fldCharType="separate"/>
            </w:r>
            <w:r w:rsidR="002224EB">
              <w:rPr>
                <w:noProof/>
                <w:webHidden/>
              </w:rPr>
              <w:t>15</w:t>
            </w:r>
            <w:r w:rsidR="007A283B">
              <w:rPr>
                <w:noProof/>
                <w:webHidden/>
              </w:rPr>
              <w:fldChar w:fldCharType="end"/>
            </w:r>
          </w:hyperlink>
        </w:p>
        <w:p w14:paraId="21C2AC16" w14:textId="67FA6C19" w:rsidR="007A283B" w:rsidRDefault="00D36F0E" w:rsidP="00D70C61">
          <w:pPr>
            <w:pStyle w:val="TOC3"/>
            <w:rPr>
              <w:rFonts w:asciiTheme="minorHAnsi" w:eastAsiaTheme="minorEastAsia" w:hAnsiTheme="minorHAnsi"/>
              <w:noProof/>
              <w:sz w:val="22"/>
            </w:rPr>
          </w:pPr>
          <w:hyperlink w:anchor="_Toc89072294" w:history="1">
            <w:r w:rsidR="007A283B" w:rsidRPr="00E61831">
              <w:rPr>
                <w:rStyle w:val="Hyperlink"/>
                <w:noProof/>
              </w:rPr>
              <w:t>F.</w:t>
            </w:r>
            <w:r w:rsidR="007A283B">
              <w:rPr>
                <w:rFonts w:asciiTheme="minorHAnsi" w:eastAsiaTheme="minorEastAsia" w:hAnsiTheme="minorHAnsi"/>
                <w:noProof/>
                <w:sz w:val="22"/>
              </w:rPr>
              <w:tab/>
            </w:r>
            <w:r w:rsidR="007A283B" w:rsidRPr="00E61831">
              <w:rPr>
                <w:rStyle w:val="Hyperlink"/>
                <w:noProof/>
              </w:rPr>
              <w:t>Reporting Requirements</w:t>
            </w:r>
            <w:r w:rsidR="007A283B">
              <w:rPr>
                <w:noProof/>
                <w:webHidden/>
              </w:rPr>
              <w:tab/>
            </w:r>
            <w:r w:rsidR="007A283B">
              <w:rPr>
                <w:noProof/>
                <w:webHidden/>
              </w:rPr>
              <w:fldChar w:fldCharType="begin"/>
            </w:r>
            <w:r w:rsidR="007A283B">
              <w:rPr>
                <w:noProof/>
                <w:webHidden/>
              </w:rPr>
              <w:instrText xml:space="preserve"> PAGEREF _Toc89072294 \h </w:instrText>
            </w:r>
            <w:r w:rsidR="007A283B">
              <w:rPr>
                <w:noProof/>
                <w:webHidden/>
              </w:rPr>
            </w:r>
            <w:r w:rsidR="007A283B">
              <w:rPr>
                <w:noProof/>
                <w:webHidden/>
              </w:rPr>
              <w:fldChar w:fldCharType="separate"/>
            </w:r>
            <w:r w:rsidR="002224EB">
              <w:rPr>
                <w:noProof/>
                <w:webHidden/>
              </w:rPr>
              <w:t>15</w:t>
            </w:r>
            <w:r w:rsidR="007A283B">
              <w:rPr>
                <w:noProof/>
                <w:webHidden/>
              </w:rPr>
              <w:fldChar w:fldCharType="end"/>
            </w:r>
          </w:hyperlink>
        </w:p>
        <w:p w14:paraId="44508E80" w14:textId="7D3A9D9F" w:rsidR="007A283B" w:rsidRDefault="00D36F0E" w:rsidP="007A283B">
          <w:pPr>
            <w:pStyle w:val="TOC2"/>
            <w:rPr>
              <w:rFonts w:asciiTheme="minorHAnsi" w:eastAsiaTheme="minorEastAsia" w:hAnsiTheme="minorHAnsi"/>
              <w:sz w:val="22"/>
            </w:rPr>
          </w:pPr>
          <w:hyperlink w:anchor="_Toc89072295" w:history="1">
            <w:r w:rsidR="007A283B" w:rsidRPr="00E61831">
              <w:rPr>
                <w:rStyle w:val="Hyperlink"/>
              </w:rPr>
              <w:t>3.</w:t>
            </w:r>
            <w:r w:rsidR="007A283B">
              <w:rPr>
                <w:rFonts w:asciiTheme="minorHAnsi" w:eastAsiaTheme="minorEastAsia" w:hAnsiTheme="minorHAnsi"/>
                <w:sz w:val="22"/>
              </w:rPr>
              <w:tab/>
            </w:r>
            <w:r w:rsidR="007A283B" w:rsidRPr="00E61831">
              <w:rPr>
                <w:rStyle w:val="Hyperlink"/>
              </w:rPr>
              <w:t>Application Procedures and Processes</w:t>
            </w:r>
            <w:r w:rsidR="007A283B">
              <w:rPr>
                <w:webHidden/>
              </w:rPr>
              <w:tab/>
            </w:r>
            <w:r w:rsidR="007A283B">
              <w:rPr>
                <w:webHidden/>
              </w:rPr>
              <w:fldChar w:fldCharType="begin"/>
            </w:r>
            <w:r w:rsidR="007A283B">
              <w:rPr>
                <w:webHidden/>
              </w:rPr>
              <w:instrText xml:space="preserve"> PAGEREF _Toc89072295 \h </w:instrText>
            </w:r>
            <w:r w:rsidR="007A283B">
              <w:rPr>
                <w:webHidden/>
              </w:rPr>
            </w:r>
            <w:r w:rsidR="007A283B">
              <w:rPr>
                <w:webHidden/>
              </w:rPr>
              <w:fldChar w:fldCharType="separate"/>
            </w:r>
            <w:r w:rsidR="002224EB">
              <w:rPr>
                <w:webHidden/>
              </w:rPr>
              <w:t>16</w:t>
            </w:r>
            <w:r w:rsidR="007A283B">
              <w:rPr>
                <w:webHidden/>
              </w:rPr>
              <w:fldChar w:fldCharType="end"/>
            </w:r>
          </w:hyperlink>
        </w:p>
        <w:p w14:paraId="61779B6A" w14:textId="44FF6DF3" w:rsidR="007A283B" w:rsidRDefault="00D36F0E" w:rsidP="00D70C61">
          <w:pPr>
            <w:pStyle w:val="TOC3"/>
            <w:rPr>
              <w:rFonts w:asciiTheme="minorHAnsi" w:eastAsiaTheme="minorEastAsia" w:hAnsiTheme="minorHAnsi"/>
              <w:noProof/>
              <w:sz w:val="22"/>
            </w:rPr>
          </w:pPr>
          <w:hyperlink w:anchor="_Toc89072296" w:history="1">
            <w:r w:rsidR="007A283B" w:rsidRPr="00E61831">
              <w:rPr>
                <w:rStyle w:val="Hyperlink"/>
                <w:noProof/>
              </w:rPr>
              <w:t>A.</w:t>
            </w:r>
            <w:r w:rsidR="007A283B">
              <w:rPr>
                <w:rFonts w:asciiTheme="minorHAnsi" w:eastAsiaTheme="minorEastAsia" w:hAnsiTheme="minorHAnsi"/>
                <w:noProof/>
                <w:sz w:val="22"/>
              </w:rPr>
              <w:tab/>
            </w:r>
            <w:r w:rsidR="007A283B" w:rsidRPr="00E61831">
              <w:rPr>
                <w:rStyle w:val="Hyperlink"/>
                <w:noProof/>
              </w:rPr>
              <w:t>Application Timeline</w:t>
            </w:r>
            <w:r w:rsidR="007A283B">
              <w:rPr>
                <w:noProof/>
                <w:webHidden/>
              </w:rPr>
              <w:tab/>
            </w:r>
            <w:r w:rsidR="007A283B">
              <w:rPr>
                <w:noProof/>
                <w:webHidden/>
              </w:rPr>
              <w:fldChar w:fldCharType="begin"/>
            </w:r>
            <w:r w:rsidR="007A283B">
              <w:rPr>
                <w:noProof/>
                <w:webHidden/>
              </w:rPr>
              <w:instrText xml:space="preserve"> PAGEREF _Toc89072296 \h </w:instrText>
            </w:r>
            <w:r w:rsidR="007A283B">
              <w:rPr>
                <w:noProof/>
                <w:webHidden/>
              </w:rPr>
            </w:r>
            <w:r w:rsidR="007A283B">
              <w:rPr>
                <w:noProof/>
                <w:webHidden/>
              </w:rPr>
              <w:fldChar w:fldCharType="separate"/>
            </w:r>
            <w:r w:rsidR="002224EB">
              <w:rPr>
                <w:noProof/>
                <w:webHidden/>
              </w:rPr>
              <w:t>16</w:t>
            </w:r>
            <w:r w:rsidR="007A283B">
              <w:rPr>
                <w:noProof/>
                <w:webHidden/>
              </w:rPr>
              <w:fldChar w:fldCharType="end"/>
            </w:r>
          </w:hyperlink>
        </w:p>
        <w:p w14:paraId="44922652" w14:textId="0D135B16" w:rsidR="007A283B" w:rsidRDefault="00D36F0E" w:rsidP="00D70C61">
          <w:pPr>
            <w:pStyle w:val="TOC3"/>
            <w:rPr>
              <w:rFonts w:asciiTheme="minorHAnsi" w:eastAsiaTheme="minorEastAsia" w:hAnsiTheme="minorHAnsi"/>
              <w:noProof/>
              <w:sz w:val="22"/>
            </w:rPr>
          </w:pPr>
          <w:hyperlink w:anchor="_Toc89072297" w:history="1">
            <w:r w:rsidR="007A283B" w:rsidRPr="00E61831">
              <w:rPr>
                <w:rStyle w:val="Hyperlink"/>
                <w:noProof/>
              </w:rPr>
              <w:t>B.</w:t>
            </w:r>
            <w:r w:rsidR="007A283B">
              <w:rPr>
                <w:rFonts w:asciiTheme="minorHAnsi" w:eastAsiaTheme="minorEastAsia" w:hAnsiTheme="minorHAnsi"/>
                <w:noProof/>
                <w:sz w:val="22"/>
              </w:rPr>
              <w:tab/>
            </w:r>
            <w:r w:rsidR="007A283B" w:rsidRPr="00E61831">
              <w:rPr>
                <w:rStyle w:val="Hyperlink"/>
                <w:noProof/>
              </w:rPr>
              <w:t>Application Process</w:t>
            </w:r>
            <w:r w:rsidR="007A283B">
              <w:rPr>
                <w:noProof/>
                <w:webHidden/>
              </w:rPr>
              <w:tab/>
            </w:r>
            <w:r w:rsidR="007A283B">
              <w:rPr>
                <w:noProof/>
                <w:webHidden/>
              </w:rPr>
              <w:fldChar w:fldCharType="begin"/>
            </w:r>
            <w:r w:rsidR="007A283B">
              <w:rPr>
                <w:noProof/>
                <w:webHidden/>
              </w:rPr>
              <w:instrText xml:space="preserve"> PAGEREF _Toc89072297 \h </w:instrText>
            </w:r>
            <w:r w:rsidR="007A283B">
              <w:rPr>
                <w:noProof/>
                <w:webHidden/>
              </w:rPr>
            </w:r>
            <w:r w:rsidR="007A283B">
              <w:rPr>
                <w:noProof/>
                <w:webHidden/>
              </w:rPr>
              <w:fldChar w:fldCharType="separate"/>
            </w:r>
            <w:r w:rsidR="002224EB">
              <w:rPr>
                <w:noProof/>
                <w:webHidden/>
              </w:rPr>
              <w:t>16</w:t>
            </w:r>
            <w:r w:rsidR="007A283B">
              <w:rPr>
                <w:noProof/>
                <w:webHidden/>
              </w:rPr>
              <w:fldChar w:fldCharType="end"/>
            </w:r>
          </w:hyperlink>
        </w:p>
        <w:p w14:paraId="35D4F873" w14:textId="3CED6654" w:rsidR="007A283B" w:rsidRDefault="00D36F0E" w:rsidP="00D70C61">
          <w:pPr>
            <w:pStyle w:val="TOC3"/>
            <w:rPr>
              <w:rFonts w:asciiTheme="minorHAnsi" w:eastAsiaTheme="minorEastAsia" w:hAnsiTheme="minorHAnsi"/>
              <w:noProof/>
              <w:sz w:val="22"/>
            </w:rPr>
          </w:pPr>
          <w:hyperlink w:anchor="_Toc89072298" w:history="1">
            <w:r w:rsidR="007A283B" w:rsidRPr="00E61831">
              <w:rPr>
                <w:rStyle w:val="Hyperlink"/>
                <w:noProof/>
              </w:rPr>
              <w:t>C.</w:t>
            </w:r>
            <w:r w:rsidR="007A283B">
              <w:rPr>
                <w:rFonts w:asciiTheme="minorHAnsi" w:eastAsiaTheme="minorEastAsia" w:hAnsiTheme="minorHAnsi"/>
                <w:noProof/>
                <w:sz w:val="22"/>
              </w:rPr>
              <w:tab/>
            </w:r>
            <w:r w:rsidR="007A283B" w:rsidRPr="00E61831">
              <w:rPr>
                <w:rStyle w:val="Hyperlink"/>
                <w:noProof/>
              </w:rPr>
              <w:t>Application Review</w:t>
            </w:r>
            <w:r w:rsidR="007A283B">
              <w:rPr>
                <w:noProof/>
                <w:webHidden/>
              </w:rPr>
              <w:tab/>
            </w:r>
            <w:r w:rsidR="007A283B">
              <w:rPr>
                <w:noProof/>
                <w:webHidden/>
              </w:rPr>
              <w:fldChar w:fldCharType="begin"/>
            </w:r>
            <w:r w:rsidR="007A283B">
              <w:rPr>
                <w:noProof/>
                <w:webHidden/>
              </w:rPr>
              <w:instrText xml:space="preserve"> PAGEREF _Toc89072298 \h </w:instrText>
            </w:r>
            <w:r w:rsidR="007A283B">
              <w:rPr>
                <w:noProof/>
                <w:webHidden/>
              </w:rPr>
            </w:r>
            <w:r w:rsidR="007A283B">
              <w:rPr>
                <w:noProof/>
                <w:webHidden/>
              </w:rPr>
              <w:fldChar w:fldCharType="separate"/>
            </w:r>
            <w:r w:rsidR="002224EB">
              <w:rPr>
                <w:noProof/>
                <w:webHidden/>
              </w:rPr>
              <w:t>17</w:t>
            </w:r>
            <w:r w:rsidR="007A283B">
              <w:rPr>
                <w:noProof/>
                <w:webHidden/>
              </w:rPr>
              <w:fldChar w:fldCharType="end"/>
            </w:r>
          </w:hyperlink>
        </w:p>
        <w:p w14:paraId="464C1364" w14:textId="08F74E99" w:rsidR="007A283B" w:rsidRDefault="00D36F0E" w:rsidP="00D70C61">
          <w:pPr>
            <w:pStyle w:val="TOC3"/>
            <w:rPr>
              <w:rFonts w:asciiTheme="minorHAnsi" w:eastAsiaTheme="minorEastAsia" w:hAnsiTheme="minorHAnsi"/>
              <w:noProof/>
              <w:sz w:val="22"/>
            </w:rPr>
          </w:pPr>
          <w:hyperlink w:anchor="_Toc89072299" w:history="1">
            <w:r w:rsidR="007A283B" w:rsidRPr="00E61831">
              <w:rPr>
                <w:rStyle w:val="Hyperlink"/>
                <w:noProof/>
              </w:rPr>
              <w:t>D.</w:t>
            </w:r>
            <w:r w:rsidR="007A283B">
              <w:rPr>
                <w:rFonts w:asciiTheme="minorHAnsi" w:eastAsiaTheme="minorEastAsia" w:hAnsiTheme="minorHAnsi"/>
                <w:noProof/>
                <w:sz w:val="22"/>
              </w:rPr>
              <w:tab/>
            </w:r>
            <w:r w:rsidR="007A283B" w:rsidRPr="00E61831">
              <w:rPr>
                <w:rStyle w:val="Hyperlink"/>
                <w:noProof/>
              </w:rPr>
              <w:t>Technical Assistance</w:t>
            </w:r>
            <w:r w:rsidR="007A283B">
              <w:rPr>
                <w:noProof/>
                <w:webHidden/>
              </w:rPr>
              <w:tab/>
            </w:r>
            <w:r w:rsidR="007A283B">
              <w:rPr>
                <w:noProof/>
                <w:webHidden/>
              </w:rPr>
              <w:fldChar w:fldCharType="begin"/>
            </w:r>
            <w:r w:rsidR="007A283B">
              <w:rPr>
                <w:noProof/>
                <w:webHidden/>
              </w:rPr>
              <w:instrText xml:space="preserve"> PAGEREF _Toc89072299 \h </w:instrText>
            </w:r>
            <w:r w:rsidR="007A283B">
              <w:rPr>
                <w:noProof/>
                <w:webHidden/>
              </w:rPr>
            </w:r>
            <w:r w:rsidR="007A283B">
              <w:rPr>
                <w:noProof/>
                <w:webHidden/>
              </w:rPr>
              <w:fldChar w:fldCharType="separate"/>
            </w:r>
            <w:r w:rsidR="002224EB">
              <w:rPr>
                <w:noProof/>
                <w:webHidden/>
              </w:rPr>
              <w:t>17</w:t>
            </w:r>
            <w:r w:rsidR="007A283B">
              <w:rPr>
                <w:noProof/>
                <w:webHidden/>
              </w:rPr>
              <w:fldChar w:fldCharType="end"/>
            </w:r>
          </w:hyperlink>
        </w:p>
        <w:p w14:paraId="6F90C555" w14:textId="744470C5" w:rsidR="007A283B" w:rsidRDefault="00D36F0E" w:rsidP="00D70C61">
          <w:pPr>
            <w:pStyle w:val="TOC3"/>
            <w:rPr>
              <w:rFonts w:asciiTheme="minorHAnsi" w:eastAsiaTheme="minorEastAsia" w:hAnsiTheme="minorHAnsi"/>
              <w:noProof/>
              <w:sz w:val="22"/>
            </w:rPr>
          </w:pPr>
          <w:hyperlink w:anchor="_Toc89072300" w:history="1">
            <w:r w:rsidR="007A283B" w:rsidRPr="00E61831">
              <w:rPr>
                <w:rStyle w:val="Hyperlink"/>
                <w:noProof/>
              </w:rPr>
              <w:t>E.</w:t>
            </w:r>
            <w:r w:rsidR="007A283B">
              <w:rPr>
                <w:rFonts w:asciiTheme="minorHAnsi" w:eastAsiaTheme="minorEastAsia" w:hAnsiTheme="minorHAnsi"/>
                <w:noProof/>
                <w:sz w:val="22"/>
              </w:rPr>
              <w:tab/>
            </w:r>
            <w:r w:rsidR="007A283B" w:rsidRPr="00E61831">
              <w:rPr>
                <w:rStyle w:val="Hyperlink"/>
                <w:noProof/>
              </w:rPr>
              <w:t>Appeals Process</w:t>
            </w:r>
            <w:r w:rsidR="007A283B">
              <w:rPr>
                <w:noProof/>
                <w:webHidden/>
              </w:rPr>
              <w:tab/>
            </w:r>
            <w:r w:rsidR="007A283B">
              <w:rPr>
                <w:noProof/>
                <w:webHidden/>
              </w:rPr>
              <w:fldChar w:fldCharType="begin"/>
            </w:r>
            <w:r w:rsidR="007A283B">
              <w:rPr>
                <w:noProof/>
                <w:webHidden/>
              </w:rPr>
              <w:instrText xml:space="preserve"> PAGEREF _Toc89072300 \h </w:instrText>
            </w:r>
            <w:r w:rsidR="007A283B">
              <w:rPr>
                <w:noProof/>
                <w:webHidden/>
              </w:rPr>
            </w:r>
            <w:r w:rsidR="007A283B">
              <w:rPr>
                <w:noProof/>
                <w:webHidden/>
              </w:rPr>
              <w:fldChar w:fldCharType="separate"/>
            </w:r>
            <w:r w:rsidR="002224EB">
              <w:rPr>
                <w:noProof/>
                <w:webHidden/>
              </w:rPr>
              <w:t>17</w:t>
            </w:r>
            <w:r w:rsidR="007A283B">
              <w:rPr>
                <w:noProof/>
                <w:webHidden/>
              </w:rPr>
              <w:fldChar w:fldCharType="end"/>
            </w:r>
          </w:hyperlink>
        </w:p>
        <w:p w14:paraId="1FEF3E33" w14:textId="6DF90F21" w:rsidR="007A283B" w:rsidRDefault="00D36F0E" w:rsidP="00D70C61">
          <w:pPr>
            <w:pStyle w:val="TOC3"/>
            <w:rPr>
              <w:rFonts w:asciiTheme="minorHAnsi" w:eastAsiaTheme="minorEastAsia" w:hAnsiTheme="minorHAnsi"/>
              <w:noProof/>
              <w:sz w:val="22"/>
            </w:rPr>
          </w:pPr>
          <w:hyperlink w:anchor="_Toc89072301" w:history="1">
            <w:r w:rsidR="007A283B" w:rsidRPr="00E61831">
              <w:rPr>
                <w:rStyle w:val="Hyperlink"/>
                <w:noProof/>
              </w:rPr>
              <w:t>F.</w:t>
            </w:r>
            <w:r w:rsidR="007A283B">
              <w:rPr>
                <w:rFonts w:asciiTheme="minorHAnsi" w:eastAsiaTheme="minorEastAsia" w:hAnsiTheme="minorHAnsi"/>
                <w:noProof/>
                <w:sz w:val="22"/>
              </w:rPr>
              <w:tab/>
            </w:r>
            <w:r w:rsidR="007A283B" w:rsidRPr="00E61831">
              <w:rPr>
                <w:rStyle w:val="Hyperlink"/>
                <w:noProof/>
              </w:rPr>
              <w:t>Grant Award Notification</w:t>
            </w:r>
            <w:r w:rsidR="007A283B">
              <w:rPr>
                <w:noProof/>
                <w:webHidden/>
              </w:rPr>
              <w:tab/>
            </w:r>
            <w:r w:rsidR="007A283B">
              <w:rPr>
                <w:noProof/>
                <w:webHidden/>
              </w:rPr>
              <w:fldChar w:fldCharType="begin"/>
            </w:r>
            <w:r w:rsidR="007A283B">
              <w:rPr>
                <w:noProof/>
                <w:webHidden/>
              </w:rPr>
              <w:instrText xml:space="preserve"> PAGEREF _Toc89072301 \h </w:instrText>
            </w:r>
            <w:r w:rsidR="007A283B">
              <w:rPr>
                <w:noProof/>
                <w:webHidden/>
              </w:rPr>
            </w:r>
            <w:r w:rsidR="007A283B">
              <w:rPr>
                <w:noProof/>
                <w:webHidden/>
              </w:rPr>
              <w:fldChar w:fldCharType="separate"/>
            </w:r>
            <w:r w:rsidR="002224EB">
              <w:rPr>
                <w:noProof/>
                <w:webHidden/>
              </w:rPr>
              <w:t>18</w:t>
            </w:r>
            <w:r w:rsidR="007A283B">
              <w:rPr>
                <w:noProof/>
                <w:webHidden/>
              </w:rPr>
              <w:fldChar w:fldCharType="end"/>
            </w:r>
          </w:hyperlink>
        </w:p>
        <w:p w14:paraId="3831E8CB" w14:textId="3A8A5634" w:rsidR="007A283B" w:rsidRDefault="00D36F0E" w:rsidP="00D70C61">
          <w:pPr>
            <w:pStyle w:val="TOC3"/>
            <w:rPr>
              <w:rFonts w:asciiTheme="minorHAnsi" w:eastAsiaTheme="minorEastAsia" w:hAnsiTheme="minorHAnsi"/>
              <w:noProof/>
              <w:sz w:val="22"/>
            </w:rPr>
          </w:pPr>
          <w:hyperlink w:anchor="_Toc89072302" w:history="1">
            <w:r w:rsidR="007A283B" w:rsidRPr="00E61831">
              <w:rPr>
                <w:rStyle w:val="Hyperlink"/>
                <w:noProof/>
              </w:rPr>
              <w:t>G.</w:t>
            </w:r>
            <w:r w:rsidR="007A283B">
              <w:rPr>
                <w:rFonts w:asciiTheme="minorHAnsi" w:eastAsiaTheme="minorEastAsia" w:hAnsiTheme="minorHAnsi"/>
                <w:noProof/>
                <w:sz w:val="22"/>
              </w:rPr>
              <w:tab/>
            </w:r>
            <w:r w:rsidR="007A283B" w:rsidRPr="00E61831">
              <w:rPr>
                <w:rStyle w:val="Hyperlink"/>
                <w:noProof/>
              </w:rPr>
              <w:t>Assurances, Certifications, Terms, and Conditions</w:t>
            </w:r>
            <w:r w:rsidR="007A283B">
              <w:rPr>
                <w:noProof/>
                <w:webHidden/>
              </w:rPr>
              <w:tab/>
            </w:r>
            <w:r w:rsidR="007A283B">
              <w:rPr>
                <w:noProof/>
                <w:webHidden/>
              </w:rPr>
              <w:fldChar w:fldCharType="begin"/>
            </w:r>
            <w:r w:rsidR="007A283B">
              <w:rPr>
                <w:noProof/>
                <w:webHidden/>
              </w:rPr>
              <w:instrText xml:space="preserve"> PAGEREF _Toc89072302 \h </w:instrText>
            </w:r>
            <w:r w:rsidR="007A283B">
              <w:rPr>
                <w:noProof/>
                <w:webHidden/>
              </w:rPr>
            </w:r>
            <w:r w:rsidR="007A283B">
              <w:rPr>
                <w:noProof/>
                <w:webHidden/>
              </w:rPr>
              <w:fldChar w:fldCharType="separate"/>
            </w:r>
            <w:r w:rsidR="002224EB">
              <w:rPr>
                <w:noProof/>
                <w:webHidden/>
              </w:rPr>
              <w:t>18</w:t>
            </w:r>
            <w:r w:rsidR="007A283B">
              <w:rPr>
                <w:noProof/>
                <w:webHidden/>
              </w:rPr>
              <w:fldChar w:fldCharType="end"/>
            </w:r>
          </w:hyperlink>
        </w:p>
        <w:p w14:paraId="6DBC8B69" w14:textId="43B4C53E" w:rsidR="007A283B" w:rsidRDefault="00D36F0E" w:rsidP="007A283B">
          <w:pPr>
            <w:pStyle w:val="TOC2"/>
            <w:rPr>
              <w:rFonts w:asciiTheme="minorHAnsi" w:eastAsiaTheme="minorEastAsia" w:hAnsiTheme="minorHAnsi"/>
              <w:sz w:val="22"/>
            </w:rPr>
          </w:pPr>
          <w:hyperlink w:anchor="_Toc89072303" w:history="1">
            <w:r w:rsidR="007A283B" w:rsidRPr="00E61831">
              <w:rPr>
                <w:rStyle w:val="Hyperlink"/>
              </w:rPr>
              <w:t>4.</w:t>
            </w:r>
            <w:r w:rsidR="007A283B">
              <w:rPr>
                <w:rFonts w:asciiTheme="minorHAnsi" w:eastAsiaTheme="minorEastAsia" w:hAnsiTheme="minorHAnsi"/>
                <w:sz w:val="22"/>
              </w:rPr>
              <w:tab/>
            </w:r>
            <w:r w:rsidR="007A283B" w:rsidRPr="00E61831">
              <w:rPr>
                <w:rStyle w:val="Hyperlink"/>
              </w:rPr>
              <w:t>Program Application</w:t>
            </w:r>
            <w:r w:rsidR="007A283B">
              <w:rPr>
                <w:webHidden/>
              </w:rPr>
              <w:tab/>
            </w:r>
            <w:r w:rsidR="007A283B">
              <w:rPr>
                <w:webHidden/>
              </w:rPr>
              <w:fldChar w:fldCharType="begin"/>
            </w:r>
            <w:r w:rsidR="007A283B">
              <w:rPr>
                <w:webHidden/>
              </w:rPr>
              <w:instrText xml:space="preserve"> PAGEREF _Toc89072303 \h </w:instrText>
            </w:r>
            <w:r w:rsidR="007A283B">
              <w:rPr>
                <w:webHidden/>
              </w:rPr>
            </w:r>
            <w:r w:rsidR="007A283B">
              <w:rPr>
                <w:webHidden/>
              </w:rPr>
              <w:fldChar w:fldCharType="separate"/>
            </w:r>
            <w:r w:rsidR="002224EB">
              <w:rPr>
                <w:webHidden/>
              </w:rPr>
              <w:t>19</w:t>
            </w:r>
            <w:r w:rsidR="007A283B">
              <w:rPr>
                <w:webHidden/>
              </w:rPr>
              <w:fldChar w:fldCharType="end"/>
            </w:r>
          </w:hyperlink>
        </w:p>
        <w:p w14:paraId="753D28E9" w14:textId="1C1330E3" w:rsidR="007A283B" w:rsidRDefault="00D36F0E" w:rsidP="00D70C61">
          <w:pPr>
            <w:pStyle w:val="TOC3"/>
            <w:rPr>
              <w:rFonts w:asciiTheme="minorHAnsi" w:eastAsiaTheme="minorEastAsia" w:hAnsiTheme="minorHAnsi"/>
              <w:noProof/>
              <w:sz w:val="22"/>
            </w:rPr>
          </w:pPr>
          <w:hyperlink w:anchor="_Toc89072304" w:history="1">
            <w:r w:rsidR="007A283B" w:rsidRPr="00E61831">
              <w:rPr>
                <w:rStyle w:val="Hyperlink"/>
                <w:iCs/>
                <w:noProof/>
              </w:rPr>
              <w:t>A.</w:t>
            </w:r>
            <w:r w:rsidR="007A283B">
              <w:rPr>
                <w:rFonts w:asciiTheme="minorHAnsi" w:eastAsiaTheme="minorEastAsia" w:hAnsiTheme="minorHAnsi"/>
                <w:noProof/>
                <w:sz w:val="22"/>
              </w:rPr>
              <w:tab/>
            </w:r>
            <w:r w:rsidR="007A283B" w:rsidRPr="00E61831">
              <w:rPr>
                <w:rStyle w:val="Hyperlink"/>
                <w:noProof/>
              </w:rPr>
              <w:t>Application Narrative</w:t>
            </w:r>
            <w:r w:rsidR="007A283B">
              <w:rPr>
                <w:noProof/>
                <w:webHidden/>
              </w:rPr>
              <w:tab/>
            </w:r>
            <w:r w:rsidR="007A283B">
              <w:rPr>
                <w:noProof/>
                <w:webHidden/>
              </w:rPr>
              <w:fldChar w:fldCharType="begin"/>
            </w:r>
            <w:r w:rsidR="007A283B">
              <w:rPr>
                <w:noProof/>
                <w:webHidden/>
              </w:rPr>
              <w:instrText xml:space="preserve"> PAGEREF _Toc89072304 \h </w:instrText>
            </w:r>
            <w:r w:rsidR="007A283B">
              <w:rPr>
                <w:noProof/>
                <w:webHidden/>
              </w:rPr>
            </w:r>
            <w:r w:rsidR="007A283B">
              <w:rPr>
                <w:noProof/>
                <w:webHidden/>
              </w:rPr>
              <w:fldChar w:fldCharType="separate"/>
            </w:r>
            <w:r w:rsidR="002224EB">
              <w:rPr>
                <w:noProof/>
                <w:webHidden/>
              </w:rPr>
              <w:t>19</w:t>
            </w:r>
            <w:r w:rsidR="007A283B">
              <w:rPr>
                <w:noProof/>
                <w:webHidden/>
              </w:rPr>
              <w:fldChar w:fldCharType="end"/>
            </w:r>
          </w:hyperlink>
        </w:p>
        <w:p w14:paraId="465776E5" w14:textId="10CAFA12" w:rsidR="007A283B" w:rsidRDefault="00D36F0E" w:rsidP="00D70C61">
          <w:pPr>
            <w:pStyle w:val="TOC3"/>
            <w:rPr>
              <w:rFonts w:asciiTheme="minorHAnsi" w:eastAsiaTheme="minorEastAsia" w:hAnsiTheme="minorHAnsi"/>
              <w:noProof/>
              <w:sz w:val="22"/>
            </w:rPr>
          </w:pPr>
          <w:hyperlink w:anchor="_Toc89072305" w:history="1">
            <w:r w:rsidR="007A283B" w:rsidRPr="00E61831">
              <w:rPr>
                <w:rStyle w:val="Hyperlink"/>
                <w:iCs/>
                <w:noProof/>
              </w:rPr>
              <w:t>B.</w:t>
            </w:r>
            <w:r w:rsidR="007A283B">
              <w:rPr>
                <w:rFonts w:asciiTheme="minorHAnsi" w:eastAsiaTheme="minorEastAsia" w:hAnsiTheme="minorHAnsi"/>
                <w:noProof/>
                <w:sz w:val="22"/>
              </w:rPr>
              <w:tab/>
            </w:r>
            <w:r w:rsidR="007A283B" w:rsidRPr="00E61831">
              <w:rPr>
                <w:rStyle w:val="Hyperlink"/>
                <w:noProof/>
              </w:rPr>
              <w:t>Budget</w:t>
            </w:r>
            <w:r w:rsidR="007A283B">
              <w:rPr>
                <w:noProof/>
                <w:webHidden/>
              </w:rPr>
              <w:tab/>
            </w:r>
            <w:r w:rsidR="007A283B">
              <w:rPr>
                <w:noProof/>
                <w:webHidden/>
              </w:rPr>
              <w:fldChar w:fldCharType="begin"/>
            </w:r>
            <w:r w:rsidR="007A283B">
              <w:rPr>
                <w:noProof/>
                <w:webHidden/>
              </w:rPr>
              <w:instrText xml:space="preserve"> PAGEREF _Toc89072305 \h </w:instrText>
            </w:r>
            <w:r w:rsidR="007A283B">
              <w:rPr>
                <w:noProof/>
                <w:webHidden/>
              </w:rPr>
            </w:r>
            <w:r w:rsidR="007A283B">
              <w:rPr>
                <w:noProof/>
                <w:webHidden/>
              </w:rPr>
              <w:fldChar w:fldCharType="separate"/>
            </w:r>
            <w:r w:rsidR="002224EB">
              <w:rPr>
                <w:noProof/>
                <w:webHidden/>
              </w:rPr>
              <w:t>22</w:t>
            </w:r>
            <w:r w:rsidR="007A283B">
              <w:rPr>
                <w:noProof/>
                <w:webHidden/>
              </w:rPr>
              <w:fldChar w:fldCharType="end"/>
            </w:r>
          </w:hyperlink>
        </w:p>
        <w:p w14:paraId="2478F999" w14:textId="3F17C683" w:rsidR="007A283B" w:rsidRDefault="00D36F0E" w:rsidP="00D70C61">
          <w:pPr>
            <w:pStyle w:val="TOC3"/>
            <w:rPr>
              <w:rFonts w:asciiTheme="minorHAnsi" w:eastAsiaTheme="minorEastAsia" w:hAnsiTheme="minorHAnsi"/>
              <w:noProof/>
              <w:sz w:val="22"/>
            </w:rPr>
          </w:pPr>
          <w:hyperlink w:anchor="_Toc89072306" w:history="1">
            <w:r w:rsidR="007A283B" w:rsidRPr="00E61831">
              <w:rPr>
                <w:rStyle w:val="Hyperlink"/>
                <w:iCs/>
                <w:noProof/>
              </w:rPr>
              <w:t>C.</w:t>
            </w:r>
            <w:r w:rsidR="007A283B">
              <w:rPr>
                <w:rFonts w:asciiTheme="minorHAnsi" w:eastAsiaTheme="minorEastAsia" w:hAnsiTheme="minorHAnsi"/>
                <w:noProof/>
                <w:sz w:val="22"/>
              </w:rPr>
              <w:tab/>
            </w:r>
            <w:r w:rsidR="007A283B" w:rsidRPr="00E61831">
              <w:rPr>
                <w:rStyle w:val="Hyperlink"/>
                <w:noProof/>
              </w:rPr>
              <w:t>Scoring Rubric</w:t>
            </w:r>
            <w:r w:rsidR="007A283B">
              <w:rPr>
                <w:noProof/>
                <w:webHidden/>
              </w:rPr>
              <w:tab/>
            </w:r>
            <w:r w:rsidR="007A283B">
              <w:rPr>
                <w:noProof/>
                <w:webHidden/>
              </w:rPr>
              <w:fldChar w:fldCharType="begin"/>
            </w:r>
            <w:r w:rsidR="007A283B">
              <w:rPr>
                <w:noProof/>
                <w:webHidden/>
              </w:rPr>
              <w:instrText xml:space="preserve"> PAGEREF _Toc89072306 \h </w:instrText>
            </w:r>
            <w:r w:rsidR="007A283B">
              <w:rPr>
                <w:noProof/>
                <w:webHidden/>
              </w:rPr>
            </w:r>
            <w:r w:rsidR="007A283B">
              <w:rPr>
                <w:noProof/>
                <w:webHidden/>
              </w:rPr>
              <w:fldChar w:fldCharType="separate"/>
            </w:r>
            <w:r w:rsidR="002224EB">
              <w:rPr>
                <w:noProof/>
                <w:webHidden/>
              </w:rPr>
              <w:t>22</w:t>
            </w:r>
            <w:r w:rsidR="007A283B">
              <w:rPr>
                <w:noProof/>
                <w:webHidden/>
              </w:rPr>
              <w:fldChar w:fldCharType="end"/>
            </w:r>
          </w:hyperlink>
        </w:p>
        <w:p w14:paraId="500C2438" w14:textId="5ED9A9B0" w:rsidR="007A283B" w:rsidRDefault="00D36F0E" w:rsidP="007A283B">
          <w:pPr>
            <w:pStyle w:val="TOC2"/>
            <w:rPr>
              <w:rFonts w:asciiTheme="minorHAnsi" w:eastAsiaTheme="minorEastAsia" w:hAnsiTheme="minorHAnsi"/>
              <w:sz w:val="22"/>
            </w:rPr>
          </w:pPr>
          <w:hyperlink w:anchor="_Toc89072307" w:history="1">
            <w:r w:rsidR="007A283B" w:rsidRPr="00E61831">
              <w:rPr>
                <w:rStyle w:val="Hyperlink"/>
              </w:rPr>
              <w:t>Appendices</w:t>
            </w:r>
            <w:r w:rsidR="007A283B">
              <w:rPr>
                <w:webHidden/>
              </w:rPr>
              <w:tab/>
            </w:r>
            <w:r w:rsidR="007A283B">
              <w:rPr>
                <w:webHidden/>
              </w:rPr>
              <w:fldChar w:fldCharType="begin"/>
            </w:r>
            <w:r w:rsidR="007A283B">
              <w:rPr>
                <w:webHidden/>
              </w:rPr>
              <w:instrText xml:space="preserve"> PAGEREF _Toc89072307 \h </w:instrText>
            </w:r>
            <w:r w:rsidR="007A283B">
              <w:rPr>
                <w:webHidden/>
              </w:rPr>
            </w:r>
            <w:r w:rsidR="007A283B">
              <w:rPr>
                <w:webHidden/>
              </w:rPr>
              <w:fldChar w:fldCharType="separate"/>
            </w:r>
            <w:r w:rsidR="002224EB">
              <w:rPr>
                <w:webHidden/>
              </w:rPr>
              <w:t>33</w:t>
            </w:r>
            <w:r w:rsidR="007A283B">
              <w:rPr>
                <w:webHidden/>
              </w:rPr>
              <w:fldChar w:fldCharType="end"/>
            </w:r>
          </w:hyperlink>
        </w:p>
        <w:p w14:paraId="7CD656AD" w14:textId="36E73259" w:rsidR="007A283B" w:rsidRDefault="00D36F0E" w:rsidP="00D70C61">
          <w:pPr>
            <w:pStyle w:val="TOC3"/>
            <w:rPr>
              <w:rFonts w:asciiTheme="minorHAnsi" w:eastAsiaTheme="minorEastAsia" w:hAnsiTheme="minorHAnsi"/>
              <w:noProof/>
              <w:sz w:val="22"/>
            </w:rPr>
          </w:pPr>
          <w:hyperlink w:anchor="_Toc89072308" w:history="1">
            <w:r w:rsidR="007A283B" w:rsidRPr="00E61831">
              <w:rPr>
                <w:rStyle w:val="Hyperlink"/>
                <w:noProof/>
              </w:rPr>
              <w:t>Appendix A: Online Application Instructions</w:t>
            </w:r>
            <w:r w:rsidR="007A283B">
              <w:rPr>
                <w:noProof/>
                <w:webHidden/>
              </w:rPr>
              <w:tab/>
            </w:r>
            <w:r w:rsidR="007A283B">
              <w:rPr>
                <w:noProof/>
                <w:webHidden/>
              </w:rPr>
              <w:fldChar w:fldCharType="begin"/>
            </w:r>
            <w:r w:rsidR="007A283B">
              <w:rPr>
                <w:noProof/>
                <w:webHidden/>
              </w:rPr>
              <w:instrText xml:space="preserve"> PAGEREF _Toc89072308 \h </w:instrText>
            </w:r>
            <w:r w:rsidR="007A283B">
              <w:rPr>
                <w:noProof/>
                <w:webHidden/>
              </w:rPr>
            </w:r>
            <w:r w:rsidR="007A283B">
              <w:rPr>
                <w:noProof/>
                <w:webHidden/>
              </w:rPr>
              <w:fldChar w:fldCharType="separate"/>
            </w:r>
            <w:r w:rsidR="002224EB">
              <w:rPr>
                <w:noProof/>
                <w:webHidden/>
              </w:rPr>
              <w:t>34</w:t>
            </w:r>
            <w:r w:rsidR="007A283B">
              <w:rPr>
                <w:noProof/>
                <w:webHidden/>
              </w:rPr>
              <w:fldChar w:fldCharType="end"/>
            </w:r>
          </w:hyperlink>
        </w:p>
        <w:p w14:paraId="45C81EFD" w14:textId="5A647978" w:rsidR="007A283B" w:rsidRDefault="00D36F0E" w:rsidP="00D70C61">
          <w:pPr>
            <w:pStyle w:val="TOC3"/>
            <w:rPr>
              <w:rFonts w:asciiTheme="minorHAnsi" w:eastAsiaTheme="minorEastAsia" w:hAnsiTheme="minorHAnsi"/>
              <w:noProof/>
              <w:sz w:val="22"/>
            </w:rPr>
          </w:pPr>
          <w:hyperlink w:anchor="_Toc89072309" w:history="1">
            <w:r w:rsidR="007A283B" w:rsidRPr="00E61831">
              <w:rPr>
                <w:rStyle w:val="Hyperlink"/>
                <w:noProof/>
              </w:rPr>
              <w:t>Appendix B: Budget Categories</w:t>
            </w:r>
            <w:r w:rsidR="007A283B">
              <w:rPr>
                <w:noProof/>
                <w:webHidden/>
              </w:rPr>
              <w:tab/>
            </w:r>
            <w:r w:rsidR="007A283B">
              <w:rPr>
                <w:noProof/>
                <w:webHidden/>
              </w:rPr>
              <w:fldChar w:fldCharType="begin"/>
            </w:r>
            <w:r w:rsidR="007A283B">
              <w:rPr>
                <w:noProof/>
                <w:webHidden/>
              </w:rPr>
              <w:instrText xml:space="preserve"> PAGEREF _Toc89072309 \h </w:instrText>
            </w:r>
            <w:r w:rsidR="007A283B">
              <w:rPr>
                <w:noProof/>
                <w:webHidden/>
              </w:rPr>
            </w:r>
            <w:r w:rsidR="007A283B">
              <w:rPr>
                <w:noProof/>
                <w:webHidden/>
              </w:rPr>
              <w:fldChar w:fldCharType="separate"/>
            </w:r>
            <w:r w:rsidR="002224EB">
              <w:rPr>
                <w:noProof/>
                <w:webHidden/>
              </w:rPr>
              <w:t>41</w:t>
            </w:r>
            <w:r w:rsidR="007A283B">
              <w:rPr>
                <w:noProof/>
                <w:webHidden/>
              </w:rPr>
              <w:fldChar w:fldCharType="end"/>
            </w:r>
          </w:hyperlink>
        </w:p>
        <w:p w14:paraId="2959985E" w14:textId="0570883B" w:rsidR="007A283B" w:rsidRDefault="00D36F0E" w:rsidP="00D70C61">
          <w:pPr>
            <w:pStyle w:val="TOC3"/>
            <w:rPr>
              <w:rFonts w:asciiTheme="minorHAnsi" w:eastAsiaTheme="minorEastAsia" w:hAnsiTheme="minorHAnsi"/>
              <w:noProof/>
              <w:sz w:val="22"/>
            </w:rPr>
          </w:pPr>
          <w:hyperlink w:anchor="_Toc89072310" w:history="1">
            <w:r w:rsidR="007A283B" w:rsidRPr="00E61831">
              <w:rPr>
                <w:rStyle w:val="Hyperlink"/>
                <w:noProof/>
              </w:rPr>
              <w:t>Appendix C</w:t>
            </w:r>
            <w:r w:rsidR="00D70C61">
              <w:rPr>
                <w:rStyle w:val="Hyperlink"/>
                <w:noProof/>
              </w:rPr>
              <w:t xml:space="preserve">: </w:t>
            </w:r>
            <w:r w:rsidR="00D70C61" w:rsidRPr="00D70C61">
              <w:rPr>
                <w:rStyle w:val="Hyperlink"/>
                <w:noProof/>
              </w:rPr>
              <w:t>Assembly Bill 130, Section 145 (Statutes of 2021) of the Education Omnibus Trailer Bill</w:t>
            </w:r>
            <w:r w:rsidR="007A283B">
              <w:rPr>
                <w:noProof/>
                <w:webHidden/>
              </w:rPr>
              <w:tab/>
            </w:r>
            <w:r w:rsidR="007A283B">
              <w:rPr>
                <w:noProof/>
                <w:webHidden/>
              </w:rPr>
              <w:fldChar w:fldCharType="begin"/>
            </w:r>
            <w:r w:rsidR="007A283B">
              <w:rPr>
                <w:noProof/>
                <w:webHidden/>
              </w:rPr>
              <w:instrText xml:space="preserve"> PAGEREF _Toc89072310 \h </w:instrText>
            </w:r>
            <w:r w:rsidR="007A283B">
              <w:rPr>
                <w:noProof/>
                <w:webHidden/>
              </w:rPr>
            </w:r>
            <w:r w:rsidR="007A283B">
              <w:rPr>
                <w:noProof/>
                <w:webHidden/>
              </w:rPr>
              <w:fldChar w:fldCharType="separate"/>
            </w:r>
            <w:r w:rsidR="002224EB">
              <w:rPr>
                <w:noProof/>
                <w:webHidden/>
              </w:rPr>
              <w:t>44</w:t>
            </w:r>
            <w:r w:rsidR="007A283B">
              <w:rPr>
                <w:noProof/>
                <w:webHidden/>
              </w:rPr>
              <w:fldChar w:fldCharType="end"/>
            </w:r>
          </w:hyperlink>
        </w:p>
        <w:p w14:paraId="6D371A6C" w14:textId="7753B396" w:rsidR="007A283B" w:rsidRDefault="00D36F0E" w:rsidP="00D70C61">
          <w:pPr>
            <w:pStyle w:val="TOC3"/>
            <w:rPr>
              <w:rFonts w:asciiTheme="minorHAnsi" w:eastAsiaTheme="minorEastAsia" w:hAnsiTheme="minorHAnsi"/>
              <w:noProof/>
              <w:sz w:val="22"/>
            </w:rPr>
          </w:pPr>
          <w:hyperlink w:anchor="_Toc89072311" w:history="1">
            <w:r w:rsidR="007A283B" w:rsidRPr="00E61831">
              <w:rPr>
                <w:rStyle w:val="Hyperlink"/>
                <w:noProof/>
              </w:rPr>
              <w:t>Form A: Reading Instruction and Intervention Grant Program: Lead Applicant Statement of Assurances</w:t>
            </w:r>
            <w:r w:rsidR="007A283B">
              <w:rPr>
                <w:noProof/>
                <w:webHidden/>
              </w:rPr>
              <w:tab/>
            </w:r>
            <w:r w:rsidR="007A283B">
              <w:rPr>
                <w:noProof/>
                <w:webHidden/>
              </w:rPr>
              <w:fldChar w:fldCharType="begin"/>
            </w:r>
            <w:r w:rsidR="007A283B">
              <w:rPr>
                <w:noProof/>
                <w:webHidden/>
              </w:rPr>
              <w:instrText xml:space="preserve"> PAGEREF _Toc89072311 \h </w:instrText>
            </w:r>
            <w:r w:rsidR="007A283B">
              <w:rPr>
                <w:noProof/>
                <w:webHidden/>
              </w:rPr>
            </w:r>
            <w:r w:rsidR="007A283B">
              <w:rPr>
                <w:noProof/>
                <w:webHidden/>
              </w:rPr>
              <w:fldChar w:fldCharType="separate"/>
            </w:r>
            <w:r w:rsidR="002224EB">
              <w:rPr>
                <w:noProof/>
                <w:webHidden/>
              </w:rPr>
              <w:t>46</w:t>
            </w:r>
            <w:r w:rsidR="007A283B">
              <w:rPr>
                <w:noProof/>
                <w:webHidden/>
              </w:rPr>
              <w:fldChar w:fldCharType="end"/>
            </w:r>
          </w:hyperlink>
        </w:p>
        <w:p w14:paraId="2F5E7CC8" w14:textId="7124E528" w:rsidR="007A283B" w:rsidRDefault="007A283B">
          <w:r>
            <w:rPr>
              <w:b/>
              <w:bCs/>
              <w:noProof/>
            </w:rPr>
            <w:fldChar w:fldCharType="end"/>
          </w:r>
        </w:p>
      </w:sdtContent>
    </w:sdt>
    <w:p w14:paraId="24C5BA9C" w14:textId="77777777" w:rsidR="009D7000" w:rsidRDefault="009D7000" w:rsidP="007A283B">
      <w:pPr>
        <w:spacing w:after="160" w:line="259" w:lineRule="auto"/>
        <w:sectPr w:rsidR="009D7000" w:rsidSect="009D7000">
          <w:footerReference w:type="first" r:id="rId19"/>
          <w:pgSz w:w="12240" w:h="15840"/>
          <w:pgMar w:top="1440" w:right="1440" w:bottom="1440" w:left="1440" w:header="720" w:footer="720" w:gutter="0"/>
          <w:pgNumType w:fmt="lowerRoman" w:start="2"/>
          <w:cols w:space="720"/>
          <w:titlePg/>
          <w:docGrid w:linePitch="360"/>
        </w:sectPr>
      </w:pPr>
    </w:p>
    <w:p w14:paraId="117A497A" w14:textId="5C893D02" w:rsidR="00B51B60" w:rsidRPr="00032E4D" w:rsidRDefault="00B51B60" w:rsidP="00256BCB">
      <w:pPr>
        <w:pStyle w:val="Heading2"/>
        <w:numPr>
          <w:ilvl w:val="0"/>
          <w:numId w:val="111"/>
        </w:numPr>
      </w:pPr>
      <w:bookmarkStart w:id="12" w:name="_Toc89072285"/>
      <w:r w:rsidRPr="00032E4D">
        <w:lastRenderedPageBreak/>
        <w:t>O</w:t>
      </w:r>
      <w:bookmarkEnd w:id="10"/>
      <w:r w:rsidR="00032E4D">
        <w:t>verview</w:t>
      </w:r>
      <w:bookmarkEnd w:id="11"/>
      <w:bookmarkEnd w:id="12"/>
    </w:p>
    <w:p w14:paraId="1B617A0E" w14:textId="77777777" w:rsidR="003F23FC" w:rsidRPr="00B51B60" w:rsidRDefault="003F23FC" w:rsidP="00E661FB">
      <w:pPr>
        <w:ind w:left="360"/>
      </w:pPr>
      <w:r w:rsidRPr="00B51B60">
        <w:t>The California Department of Education (CDE) invites local educational agencies (LEAs), or consorti</w:t>
      </w:r>
      <w:r w:rsidR="00D2521C" w:rsidRPr="00B51B60">
        <w:t>a</w:t>
      </w:r>
      <w:r w:rsidRPr="00B51B60">
        <w:t xml:space="preserve"> of LEAs, to apply for funding to generate and disseminate professional learning (PL) opportunities for educators in the areas of evidence-based literacy, intensive literacy interventions, and support of pupils’ executive functioning skills. </w:t>
      </w:r>
    </w:p>
    <w:p w14:paraId="05942F6D" w14:textId="77777777" w:rsidR="005355C2" w:rsidRPr="005355C2" w:rsidRDefault="005355C2" w:rsidP="004D3DDA">
      <w:pPr>
        <w:ind w:left="360"/>
        <w:rPr>
          <w:rFonts w:cs="Arial"/>
          <w:szCs w:val="24"/>
        </w:rPr>
      </w:pPr>
      <w:r w:rsidRPr="00AA7F8C">
        <w:rPr>
          <w:rFonts w:cs="Arial"/>
          <w:szCs w:val="24"/>
        </w:rPr>
        <w:t xml:space="preserve">The duration of the project will be </w:t>
      </w:r>
      <w:r>
        <w:rPr>
          <w:rFonts w:cs="Arial"/>
          <w:szCs w:val="24"/>
        </w:rPr>
        <w:t xml:space="preserve">from </w:t>
      </w:r>
      <w:r w:rsidR="00494433">
        <w:rPr>
          <w:rFonts w:cs="Arial"/>
          <w:b/>
          <w:szCs w:val="24"/>
        </w:rPr>
        <w:t>April</w:t>
      </w:r>
      <w:r w:rsidRPr="00DC6925">
        <w:rPr>
          <w:rFonts w:cs="Arial"/>
          <w:b/>
          <w:szCs w:val="24"/>
        </w:rPr>
        <w:t xml:space="preserve"> 1, 2022</w:t>
      </w:r>
      <w:r w:rsidR="00AC64B6">
        <w:rPr>
          <w:rFonts w:cs="Arial"/>
          <w:b/>
          <w:szCs w:val="24"/>
        </w:rPr>
        <w:t>,</w:t>
      </w:r>
      <w:r w:rsidRPr="00DC6925">
        <w:rPr>
          <w:rFonts w:cs="Arial"/>
          <w:b/>
          <w:szCs w:val="24"/>
        </w:rPr>
        <w:t xml:space="preserve"> through </w:t>
      </w:r>
      <w:r w:rsidR="00BD2302">
        <w:rPr>
          <w:rFonts w:cs="Arial"/>
          <w:b/>
          <w:szCs w:val="24"/>
        </w:rPr>
        <w:t>March</w:t>
      </w:r>
      <w:r w:rsidR="00BD2302" w:rsidRPr="00DC6925">
        <w:rPr>
          <w:rFonts w:cs="Arial"/>
          <w:b/>
          <w:szCs w:val="24"/>
        </w:rPr>
        <w:t xml:space="preserve"> </w:t>
      </w:r>
      <w:r w:rsidRPr="00DC6925">
        <w:rPr>
          <w:rFonts w:cs="Arial"/>
          <w:b/>
          <w:szCs w:val="24"/>
        </w:rPr>
        <w:t>30, 2026</w:t>
      </w:r>
      <w:r w:rsidRPr="00AA7F8C">
        <w:rPr>
          <w:rFonts w:cs="Arial"/>
          <w:szCs w:val="24"/>
        </w:rPr>
        <w:t>.</w:t>
      </w:r>
      <w:r>
        <w:rPr>
          <w:rFonts w:cs="Arial"/>
          <w:szCs w:val="24"/>
        </w:rPr>
        <w:t xml:space="preserve"> </w:t>
      </w:r>
      <w:r w:rsidRPr="00770ACC">
        <w:rPr>
          <w:rFonts w:cs="Arial"/>
          <w:szCs w:val="24"/>
        </w:rPr>
        <w:t>Successful applicants must be able to demonstrate that their proposed project is conceptually clear, technically feasible, and leads or contributes to a culture of continuous improvement after the grant period.</w:t>
      </w:r>
    </w:p>
    <w:p w14:paraId="20EC0EE3" w14:textId="77777777" w:rsidR="00FF55B8" w:rsidRDefault="00FF55B8" w:rsidP="00C51AB5">
      <w:pPr>
        <w:spacing w:after="480"/>
        <w:ind w:left="360"/>
      </w:pPr>
      <w:r>
        <w:t xml:space="preserve">To be eligible, LEAs must respond to this Request for Applications (RFA) by the deadline of </w:t>
      </w:r>
      <w:r w:rsidR="003B509D">
        <w:rPr>
          <w:b/>
        </w:rPr>
        <w:t>Friday</w:t>
      </w:r>
      <w:r w:rsidRPr="00DC6925">
        <w:rPr>
          <w:b/>
        </w:rPr>
        <w:t xml:space="preserve">, January </w:t>
      </w:r>
      <w:r w:rsidR="00494433">
        <w:rPr>
          <w:b/>
        </w:rPr>
        <w:t>28</w:t>
      </w:r>
      <w:r>
        <w:rPr>
          <w:b/>
        </w:rPr>
        <w:t>, 2022</w:t>
      </w:r>
      <w:r w:rsidR="00AC64B6">
        <w:rPr>
          <w:b/>
        </w:rPr>
        <w:t xml:space="preserve">, at </w:t>
      </w:r>
      <w:r w:rsidRPr="00DC6925">
        <w:rPr>
          <w:b/>
        </w:rPr>
        <w:t>4 p</w:t>
      </w:r>
      <w:r>
        <w:rPr>
          <w:b/>
        </w:rPr>
        <w:t>.</w:t>
      </w:r>
      <w:r w:rsidRPr="00DC6925">
        <w:rPr>
          <w:b/>
        </w:rPr>
        <w:t>m</w:t>
      </w:r>
      <w:r>
        <w:rPr>
          <w:b/>
        </w:rPr>
        <w:t>.</w:t>
      </w:r>
      <w:r>
        <w:t>, and the RFA must be signed by individuals with authority to submit applications for funding on behalf of each institution or agency.</w:t>
      </w:r>
    </w:p>
    <w:p w14:paraId="1B03ED57" w14:textId="77777777" w:rsidR="00A926C4" w:rsidRPr="00D55071" w:rsidRDefault="003F23FC" w:rsidP="00C51AB5">
      <w:pPr>
        <w:pStyle w:val="Heading3"/>
        <w:spacing w:before="0" w:after="480"/>
        <w:ind w:left="720"/>
        <w:rPr>
          <w:szCs w:val="26"/>
        </w:rPr>
      </w:pPr>
      <w:bookmarkStart w:id="13" w:name="_Toc86663620"/>
      <w:bookmarkStart w:id="14" w:name="_Toc89072189"/>
      <w:bookmarkStart w:id="15" w:name="_Toc89072286"/>
      <w:r w:rsidRPr="00D55071">
        <w:rPr>
          <w:szCs w:val="26"/>
        </w:rPr>
        <w:t>Alignment</w:t>
      </w:r>
      <w:r w:rsidR="005355C2" w:rsidRPr="00D55071">
        <w:rPr>
          <w:szCs w:val="26"/>
        </w:rPr>
        <w:t xml:space="preserve"> to the Statewide System of Support</w:t>
      </w:r>
      <w:bookmarkEnd w:id="13"/>
      <w:bookmarkEnd w:id="14"/>
      <w:bookmarkEnd w:id="15"/>
    </w:p>
    <w:p w14:paraId="00B4D20A" w14:textId="77777777" w:rsidR="005355C2" w:rsidRPr="00D55071" w:rsidRDefault="005355C2" w:rsidP="003E7A3D">
      <w:pPr>
        <w:pStyle w:val="Heading4"/>
        <w:rPr>
          <w:rFonts w:eastAsia="Times New Roman"/>
        </w:rPr>
      </w:pPr>
      <w:r w:rsidRPr="00D55071">
        <w:rPr>
          <w:rFonts w:eastAsia="Times New Roman"/>
        </w:rPr>
        <w:t>California Statewide System of Support</w:t>
      </w:r>
    </w:p>
    <w:p w14:paraId="33EA7C49" w14:textId="299E94D3" w:rsidR="005355C2" w:rsidRPr="005355C2" w:rsidRDefault="00A55E95" w:rsidP="3DAFB48A">
      <w:pPr>
        <w:pStyle w:val="NormalWeb"/>
        <w:shd w:val="clear" w:color="auto" w:fill="FFFFFF" w:themeFill="background1"/>
        <w:spacing w:before="0" w:beforeAutospacing="0" w:after="240" w:afterAutospacing="0"/>
        <w:ind w:left="720"/>
        <w:rPr>
          <w:rFonts w:ascii="Arial" w:hAnsi="Arial" w:cs="Arial"/>
          <w:color w:val="000000"/>
        </w:rPr>
      </w:pPr>
      <w:r w:rsidRPr="3DAFB48A">
        <w:rPr>
          <w:rFonts w:ascii="Arial" w:hAnsi="Arial" w:cs="Arial"/>
        </w:rPr>
        <w:t xml:space="preserve">The work of the RII </w:t>
      </w:r>
      <w:r w:rsidR="00C51AB5">
        <w:rPr>
          <w:rFonts w:ascii="Arial" w:hAnsi="Arial" w:cs="Arial"/>
        </w:rPr>
        <w:t>G</w:t>
      </w:r>
      <w:r w:rsidRPr="3DAFB48A">
        <w:rPr>
          <w:rFonts w:ascii="Arial" w:hAnsi="Arial" w:cs="Arial"/>
        </w:rPr>
        <w:t xml:space="preserve">rant </w:t>
      </w:r>
      <w:r w:rsidR="00C51AB5">
        <w:rPr>
          <w:rFonts w:ascii="Arial" w:hAnsi="Arial" w:cs="Arial"/>
        </w:rPr>
        <w:t>P</w:t>
      </w:r>
      <w:r w:rsidR="001406BA" w:rsidRPr="3DAFB48A">
        <w:rPr>
          <w:rFonts w:ascii="Arial" w:hAnsi="Arial" w:cs="Arial"/>
        </w:rPr>
        <w:t xml:space="preserve">rogram </w:t>
      </w:r>
      <w:r w:rsidRPr="3DAFB48A">
        <w:rPr>
          <w:rFonts w:ascii="Arial" w:hAnsi="Arial" w:cs="Arial"/>
        </w:rPr>
        <w:t>wi</w:t>
      </w:r>
      <w:r w:rsidR="00E319EE" w:rsidRPr="3DAFB48A">
        <w:rPr>
          <w:rFonts w:ascii="Arial" w:hAnsi="Arial" w:cs="Arial"/>
        </w:rPr>
        <w:t xml:space="preserve">ll </w:t>
      </w:r>
      <w:r w:rsidRPr="3DAFB48A">
        <w:rPr>
          <w:rFonts w:ascii="Arial" w:hAnsi="Arial" w:cs="Arial"/>
        </w:rPr>
        <w:t xml:space="preserve">align with and contribute resources to </w:t>
      </w:r>
      <w:r w:rsidR="005355C2" w:rsidRPr="3DAFB48A">
        <w:rPr>
          <w:rFonts w:ascii="Arial" w:hAnsi="Arial" w:cs="Arial"/>
        </w:rPr>
        <w:t xml:space="preserve">California’s Statewide </w:t>
      </w:r>
      <w:r w:rsidR="006A1378">
        <w:rPr>
          <w:rFonts w:ascii="Arial" w:hAnsi="Arial" w:cs="Arial"/>
        </w:rPr>
        <w:t>System of Support (</w:t>
      </w:r>
      <w:proofErr w:type="spellStart"/>
      <w:r w:rsidR="005355C2" w:rsidRPr="3DAFB48A">
        <w:rPr>
          <w:rFonts w:ascii="Arial" w:hAnsi="Arial" w:cs="Arial"/>
        </w:rPr>
        <w:t>SoS</w:t>
      </w:r>
      <w:proofErr w:type="spellEnd"/>
      <w:r w:rsidR="006A1378">
        <w:rPr>
          <w:rFonts w:ascii="Arial" w:hAnsi="Arial" w:cs="Arial"/>
        </w:rPr>
        <w:t>)</w:t>
      </w:r>
      <w:r w:rsidRPr="3DAFB48A">
        <w:rPr>
          <w:rFonts w:ascii="Arial" w:hAnsi="Arial" w:cs="Arial"/>
        </w:rPr>
        <w:t xml:space="preserve">. The Statewide </w:t>
      </w:r>
      <w:proofErr w:type="spellStart"/>
      <w:r w:rsidR="001406BA" w:rsidRPr="3DAFB48A">
        <w:rPr>
          <w:rFonts w:ascii="Arial" w:hAnsi="Arial" w:cs="Arial"/>
        </w:rPr>
        <w:t>SoS</w:t>
      </w:r>
      <w:proofErr w:type="spellEnd"/>
      <w:r w:rsidR="001406BA" w:rsidRPr="3DAFB48A">
        <w:rPr>
          <w:rFonts w:ascii="Arial" w:hAnsi="Arial" w:cs="Arial"/>
        </w:rPr>
        <w:t xml:space="preserve"> </w:t>
      </w:r>
      <w:r w:rsidRPr="3DAFB48A">
        <w:rPr>
          <w:rFonts w:ascii="Arial" w:hAnsi="Arial" w:cs="Arial"/>
        </w:rPr>
        <w:t>brings together California’s improvement networks and resources to assist LEAs in meeting the state’s priorities</w:t>
      </w:r>
      <w:r w:rsidR="00452BCA" w:rsidRPr="3DAFB48A">
        <w:rPr>
          <w:rFonts w:ascii="Arial" w:hAnsi="Arial" w:cs="Arial"/>
        </w:rPr>
        <w:t>. This network</w:t>
      </w:r>
      <w:r w:rsidR="001406BA" w:rsidRPr="3DAFB48A">
        <w:rPr>
          <w:rFonts w:ascii="Arial" w:hAnsi="Arial" w:cs="Arial"/>
        </w:rPr>
        <w:t xml:space="preserve"> </w:t>
      </w:r>
      <w:r w:rsidR="005355C2" w:rsidRPr="3DAFB48A">
        <w:rPr>
          <w:rFonts w:ascii="Arial" w:hAnsi="Arial" w:cs="Arial"/>
        </w:rPr>
        <w:t xml:space="preserve">is made up of numerous support providers and is designed to build local capacity and assist LEAs in identifying and addressing inequities as part of the continuous improvement process. </w:t>
      </w:r>
      <w:r w:rsidR="005355C2" w:rsidRPr="3DAFB48A">
        <w:rPr>
          <w:rFonts w:ascii="Arial" w:hAnsi="Arial" w:cs="Arial"/>
          <w:color w:val="000000" w:themeColor="text1"/>
        </w:rPr>
        <w:t xml:space="preserve">The purpose of California’s </w:t>
      </w:r>
      <w:r w:rsidR="001406BA" w:rsidRPr="3DAFB48A">
        <w:rPr>
          <w:rFonts w:ascii="Arial" w:hAnsi="Arial" w:cs="Arial"/>
          <w:color w:val="000000" w:themeColor="text1"/>
        </w:rPr>
        <w:t xml:space="preserve">Statewide </w:t>
      </w:r>
      <w:proofErr w:type="spellStart"/>
      <w:r w:rsidR="001406BA" w:rsidRPr="3DAFB48A">
        <w:rPr>
          <w:rFonts w:ascii="Arial" w:hAnsi="Arial" w:cs="Arial"/>
          <w:color w:val="000000" w:themeColor="text1"/>
        </w:rPr>
        <w:t>SoS</w:t>
      </w:r>
      <w:proofErr w:type="spellEnd"/>
      <w:r w:rsidR="005355C2" w:rsidRPr="3DAFB48A">
        <w:rPr>
          <w:rFonts w:ascii="Arial" w:hAnsi="Arial" w:cs="Arial"/>
          <w:color w:val="000000" w:themeColor="text1"/>
        </w:rPr>
        <w:t xml:space="preserve">, articulated in </w:t>
      </w:r>
      <w:r w:rsidR="005355C2" w:rsidRPr="3DAFB48A">
        <w:rPr>
          <w:rStyle w:val="Emphasis"/>
          <w:rFonts w:ascii="Arial" w:hAnsi="Arial" w:cs="Arial"/>
          <w:color w:val="000000" w:themeColor="text1"/>
        </w:rPr>
        <w:t>EC</w:t>
      </w:r>
      <w:r w:rsidR="005355C2" w:rsidRPr="3DAFB48A">
        <w:rPr>
          <w:rFonts w:ascii="Arial" w:hAnsi="Arial" w:cs="Arial"/>
          <w:color w:val="000000" w:themeColor="text1"/>
        </w:rPr>
        <w:t> Section 52095.5(b), is to build the capacity of LEAs in each of the following areas:</w:t>
      </w:r>
    </w:p>
    <w:p w14:paraId="45AECE44" w14:textId="77777777" w:rsidR="005355C2" w:rsidRPr="004D3DDA" w:rsidRDefault="005355C2" w:rsidP="00C51AB5">
      <w:pPr>
        <w:pStyle w:val="ListParagraph"/>
        <w:numPr>
          <w:ilvl w:val="0"/>
          <w:numId w:val="60"/>
        </w:numPr>
        <w:shd w:val="clear" w:color="auto" w:fill="FFFFFF"/>
        <w:spacing w:before="100" w:beforeAutospacing="1"/>
        <w:ind w:left="1440"/>
        <w:rPr>
          <w:rFonts w:cs="Arial"/>
          <w:color w:val="000000"/>
        </w:rPr>
      </w:pPr>
      <w:r w:rsidRPr="004D3DDA">
        <w:rPr>
          <w:rFonts w:cs="Arial"/>
          <w:color w:val="000000"/>
        </w:rPr>
        <w:t>Support the continuous improvement of student performance in each of the eight state priorities areas described</w:t>
      </w:r>
      <w:r w:rsidR="00452BCA">
        <w:rPr>
          <w:rFonts w:cs="Arial"/>
          <w:color w:val="000000"/>
        </w:rPr>
        <w:t xml:space="preserve"> in </w:t>
      </w:r>
      <w:r w:rsidR="00452BCA" w:rsidRPr="00452BCA">
        <w:rPr>
          <w:rFonts w:cs="Arial"/>
          <w:i/>
          <w:color w:val="000000"/>
        </w:rPr>
        <w:t>EC</w:t>
      </w:r>
      <w:r w:rsidR="00452BCA">
        <w:rPr>
          <w:rFonts w:cs="Arial"/>
          <w:color w:val="000000"/>
        </w:rPr>
        <w:t xml:space="preserve"> sections 52060(d) </w:t>
      </w:r>
      <w:r w:rsidRPr="004D3DDA">
        <w:rPr>
          <w:rFonts w:cs="Arial"/>
          <w:color w:val="000000"/>
        </w:rPr>
        <w:t>and 52066(d).</w:t>
      </w:r>
    </w:p>
    <w:p w14:paraId="5E2BF290" w14:textId="77777777" w:rsidR="005355C2" w:rsidRPr="004D3DDA" w:rsidRDefault="005355C2" w:rsidP="00C51AB5">
      <w:pPr>
        <w:pStyle w:val="ListParagraph"/>
        <w:numPr>
          <w:ilvl w:val="0"/>
          <w:numId w:val="60"/>
        </w:numPr>
        <w:shd w:val="clear" w:color="auto" w:fill="FFFFFF"/>
        <w:spacing w:before="100" w:beforeAutospacing="1"/>
        <w:ind w:left="1440"/>
        <w:rPr>
          <w:rFonts w:cs="Arial"/>
          <w:color w:val="000000"/>
        </w:rPr>
      </w:pPr>
      <w:r w:rsidRPr="004D3DDA">
        <w:rPr>
          <w:rFonts w:cs="Arial"/>
          <w:color w:val="000000"/>
        </w:rPr>
        <w:t>Address the gaps in achievement between student groups identified in </w:t>
      </w:r>
      <w:r w:rsidRPr="005203CE">
        <w:rPr>
          <w:rStyle w:val="Emphasis"/>
          <w:rFonts w:cs="Arial"/>
          <w:color w:val="000000"/>
        </w:rPr>
        <w:t>EC </w:t>
      </w:r>
      <w:r w:rsidRPr="004D3DDA">
        <w:rPr>
          <w:rFonts w:cs="Arial"/>
          <w:color w:val="000000"/>
        </w:rPr>
        <w:t>Section 52052.</w:t>
      </w:r>
    </w:p>
    <w:p w14:paraId="57055707" w14:textId="77777777" w:rsidR="005355C2" w:rsidRPr="004D3DDA" w:rsidRDefault="005355C2" w:rsidP="00C51AB5">
      <w:pPr>
        <w:pStyle w:val="ListParagraph"/>
        <w:numPr>
          <w:ilvl w:val="0"/>
          <w:numId w:val="60"/>
        </w:numPr>
        <w:shd w:val="clear" w:color="auto" w:fill="FFFFFF"/>
        <w:ind w:left="1440"/>
        <w:rPr>
          <w:rFonts w:cs="Arial"/>
          <w:color w:val="000000"/>
        </w:rPr>
      </w:pPr>
      <w:r w:rsidRPr="004D3DDA">
        <w:rPr>
          <w:rFonts w:cs="Arial"/>
          <w:color w:val="000000"/>
        </w:rPr>
        <w:t>Improve outreach and collaboration with interested parties to ensure that goals, actions, and services described in school district and county office of education</w:t>
      </w:r>
      <w:r w:rsidR="001406BA" w:rsidRPr="004D3DDA">
        <w:rPr>
          <w:rFonts w:cs="Arial"/>
          <w:color w:val="000000"/>
        </w:rPr>
        <w:t xml:space="preserve"> (COE)</w:t>
      </w:r>
      <w:r w:rsidRPr="004D3DDA">
        <w:rPr>
          <w:rFonts w:cs="Arial"/>
          <w:color w:val="000000"/>
        </w:rPr>
        <w:t> </w:t>
      </w:r>
      <w:r w:rsidR="00C51AB5">
        <w:rPr>
          <w:rFonts w:cs="Arial"/>
          <w:color w:val="000000"/>
        </w:rPr>
        <w:t>L</w:t>
      </w:r>
      <w:r w:rsidRPr="004D3DDA">
        <w:rPr>
          <w:rFonts w:cs="Arial"/>
          <w:color w:val="000000"/>
        </w:rPr>
        <w:t xml:space="preserve">ocal </w:t>
      </w:r>
      <w:r w:rsidR="00C51AB5">
        <w:rPr>
          <w:rFonts w:cs="Arial"/>
          <w:color w:val="000000"/>
        </w:rPr>
        <w:t>C</w:t>
      </w:r>
      <w:r w:rsidRPr="004D3DDA">
        <w:rPr>
          <w:rFonts w:cs="Arial"/>
          <w:color w:val="000000"/>
        </w:rPr>
        <w:t xml:space="preserve">ontrol and </w:t>
      </w:r>
      <w:r w:rsidR="00C51AB5">
        <w:rPr>
          <w:rFonts w:cs="Arial"/>
          <w:color w:val="000000"/>
        </w:rPr>
        <w:t>A</w:t>
      </w:r>
      <w:r w:rsidRPr="004D3DDA">
        <w:rPr>
          <w:rFonts w:cs="Arial"/>
          <w:color w:val="000000"/>
        </w:rPr>
        <w:t xml:space="preserve">ccountability </w:t>
      </w:r>
      <w:r w:rsidR="00C51AB5">
        <w:rPr>
          <w:rFonts w:cs="Arial"/>
          <w:color w:val="000000"/>
        </w:rPr>
        <w:t>P</w:t>
      </w:r>
      <w:r w:rsidRPr="004D3DDA">
        <w:rPr>
          <w:rFonts w:cs="Arial"/>
          <w:color w:val="000000"/>
        </w:rPr>
        <w:t>lans </w:t>
      </w:r>
      <w:r w:rsidR="00C51AB5">
        <w:rPr>
          <w:rFonts w:cs="Arial"/>
          <w:color w:val="000000"/>
        </w:rPr>
        <w:t xml:space="preserve">(LCAPs) </w:t>
      </w:r>
      <w:r w:rsidRPr="004D3DDA">
        <w:rPr>
          <w:rFonts w:cs="Arial"/>
          <w:color w:val="000000"/>
        </w:rPr>
        <w:t xml:space="preserve">reflect the needs of students and the community, especially for historically underrepresented or low-achieving </w:t>
      </w:r>
      <w:r w:rsidR="001406BA" w:rsidRPr="004D3DDA">
        <w:rPr>
          <w:rFonts w:cs="Arial"/>
          <w:color w:val="000000"/>
        </w:rPr>
        <w:t xml:space="preserve">student </w:t>
      </w:r>
      <w:r w:rsidRPr="004D3DDA">
        <w:rPr>
          <w:rFonts w:cs="Arial"/>
          <w:color w:val="000000"/>
        </w:rPr>
        <w:t>groups.</w:t>
      </w:r>
    </w:p>
    <w:p w14:paraId="02E883C9" w14:textId="77777777" w:rsidR="00D55071" w:rsidRDefault="003727C6" w:rsidP="00D55071">
      <w:pPr>
        <w:shd w:val="clear" w:color="auto" w:fill="FFFFFF"/>
        <w:spacing w:after="0"/>
        <w:ind w:left="720"/>
        <w:rPr>
          <w:rFonts w:cs="Arial"/>
        </w:rPr>
      </w:pPr>
      <w:r>
        <w:rPr>
          <w:rFonts w:cs="Arial"/>
        </w:rPr>
        <w:t xml:space="preserve">California’s </w:t>
      </w:r>
      <w:proofErr w:type="spellStart"/>
      <w:r>
        <w:rPr>
          <w:rFonts w:cs="Arial"/>
        </w:rPr>
        <w:t>SoS</w:t>
      </w:r>
      <w:proofErr w:type="spellEnd"/>
      <w:r>
        <w:rPr>
          <w:rFonts w:cs="Arial"/>
        </w:rPr>
        <w:t xml:space="preserve"> </w:t>
      </w:r>
      <w:r w:rsidR="005355C2" w:rsidRPr="00AA7F8C">
        <w:rPr>
          <w:rFonts w:cs="Arial"/>
        </w:rPr>
        <w:t xml:space="preserve">includes three levels of support for LEAs: (1) support for all; </w:t>
      </w:r>
    </w:p>
    <w:p w14:paraId="2D145A23" w14:textId="6FFE9780" w:rsidR="005355C2" w:rsidRPr="00792799" w:rsidRDefault="005355C2" w:rsidP="00467B50">
      <w:pPr>
        <w:shd w:val="clear" w:color="auto" w:fill="FFFFFF"/>
        <w:spacing w:after="480"/>
        <w:ind w:left="720"/>
        <w:rPr>
          <w:rFonts w:cs="Arial"/>
        </w:rPr>
      </w:pPr>
      <w:r w:rsidRPr="00AA7F8C">
        <w:rPr>
          <w:rFonts w:cs="Arial"/>
        </w:rPr>
        <w:lastRenderedPageBreak/>
        <w:t>(2) individually designed</w:t>
      </w:r>
      <w:r w:rsidR="00467B50" w:rsidRPr="00467B50">
        <w:rPr>
          <w:rFonts w:cs="Arial"/>
        </w:rPr>
        <w:t>—</w:t>
      </w:r>
      <w:r w:rsidRPr="00AA7F8C">
        <w:rPr>
          <w:rFonts w:cs="Arial"/>
        </w:rPr>
        <w:t>or differentiated</w:t>
      </w:r>
      <w:r>
        <w:rPr>
          <w:rFonts w:cs="Arial"/>
        </w:rPr>
        <w:t>—</w:t>
      </w:r>
      <w:r w:rsidRPr="00AA7F8C">
        <w:rPr>
          <w:rFonts w:cs="Arial"/>
        </w:rPr>
        <w:t xml:space="preserve">assistance; and (3) intensive intervention. </w:t>
      </w:r>
      <w:r w:rsidRPr="00AA7F8C">
        <w:rPr>
          <w:rFonts w:cs="Arial"/>
          <w:color w:val="000000"/>
          <w:szCs w:val="24"/>
        </w:rPr>
        <w:t xml:space="preserve">The </w:t>
      </w:r>
      <w:r>
        <w:rPr>
          <w:rFonts w:cs="Arial"/>
          <w:color w:val="000000"/>
          <w:szCs w:val="24"/>
        </w:rPr>
        <w:t>primary function</w:t>
      </w:r>
      <w:r w:rsidRPr="00AA7F8C">
        <w:rPr>
          <w:rFonts w:cs="Arial"/>
          <w:color w:val="000000"/>
          <w:szCs w:val="24"/>
        </w:rPr>
        <w:t xml:space="preserve"> of the Statewide </w:t>
      </w:r>
      <w:proofErr w:type="spellStart"/>
      <w:r w:rsidRPr="00AA7F8C">
        <w:rPr>
          <w:rFonts w:cs="Arial"/>
          <w:color w:val="000000"/>
          <w:szCs w:val="24"/>
        </w:rPr>
        <w:t>SoS</w:t>
      </w:r>
      <w:proofErr w:type="spellEnd"/>
      <w:r w:rsidRPr="00AA7F8C">
        <w:rPr>
          <w:rFonts w:cs="Arial"/>
          <w:color w:val="000000"/>
          <w:szCs w:val="24"/>
        </w:rPr>
        <w:t xml:space="preserve"> </w:t>
      </w:r>
      <w:r>
        <w:rPr>
          <w:rFonts w:cs="Arial"/>
          <w:color w:val="000000"/>
          <w:szCs w:val="24"/>
        </w:rPr>
        <w:t>is</w:t>
      </w:r>
      <w:r w:rsidRPr="00AA7F8C">
        <w:rPr>
          <w:rFonts w:cs="Arial"/>
          <w:color w:val="000000"/>
          <w:szCs w:val="24"/>
        </w:rPr>
        <w:t xml:space="preserve"> to reduce redundancy </w:t>
      </w:r>
      <w:r w:rsidR="001406BA">
        <w:rPr>
          <w:rFonts w:cs="Arial"/>
          <w:color w:val="000000"/>
          <w:szCs w:val="24"/>
        </w:rPr>
        <w:t>and</w:t>
      </w:r>
      <w:r w:rsidRPr="00AA7F8C">
        <w:rPr>
          <w:rFonts w:cs="Arial"/>
          <w:color w:val="000000"/>
          <w:szCs w:val="24"/>
        </w:rPr>
        <w:t xml:space="preserve"> integrate guidance and resources across state and federal programs, and to support LEAs to meet identified student needs through the </w:t>
      </w:r>
      <w:r w:rsidR="00D55071">
        <w:rPr>
          <w:rFonts w:cs="Arial"/>
          <w:color w:val="000000"/>
          <w:szCs w:val="24"/>
        </w:rPr>
        <w:t xml:space="preserve">LCAP </w:t>
      </w:r>
      <w:r w:rsidRPr="00AA7F8C">
        <w:rPr>
          <w:rFonts w:cs="Arial"/>
          <w:color w:val="000000"/>
          <w:szCs w:val="24"/>
        </w:rPr>
        <w:t xml:space="preserve">process. </w:t>
      </w:r>
      <w:r w:rsidRPr="00AA7F8C">
        <w:rPr>
          <w:rFonts w:cs="Arial"/>
        </w:rPr>
        <w:t xml:space="preserve">The goal is to build capacity to ensure that LEAs are equipped to develop, implement, and evaluate strategies to ensure that each and every student has the resources necessary to succeed in school. More information about the Statewide </w:t>
      </w:r>
      <w:proofErr w:type="spellStart"/>
      <w:r w:rsidRPr="00AA7F8C">
        <w:rPr>
          <w:rFonts w:cs="Arial"/>
        </w:rPr>
        <w:t>SoS</w:t>
      </w:r>
      <w:proofErr w:type="spellEnd"/>
      <w:r w:rsidRPr="00AA7F8C">
        <w:rPr>
          <w:rFonts w:cs="Arial"/>
        </w:rPr>
        <w:t xml:space="preserve"> is available </w:t>
      </w:r>
      <w:r w:rsidR="0013518A">
        <w:rPr>
          <w:rFonts w:cs="Arial"/>
        </w:rPr>
        <w:t xml:space="preserve">on the CDE </w:t>
      </w:r>
      <w:r w:rsidR="00467B50">
        <w:rPr>
          <w:rFonts w:cs="Arial"/>
        </w:rPr>
        <w:t xml:space="preserve">California </w:t>
      </w:r>
      <w:proofErr w:type="spellStart"/>
      <w:r w:rsidR="00467B50">
        <w:rPr>
          <w:rFonts w:cs="Arial"/>
        </w:rPr>
        <w:t>SoS</w:t>
      </w:r>
      <w:proofErr w:type="spellEnd"/>
      <w:r w:rsidR="00467B50">
        <w:rPr>
          <w:rFonts w:cs="Arial"/>
        </w:rPr>
        <w:t xml:space="preserve"> </w:t>
      </w:r>
      <w:r w:rsidR="0013518A">
        <w:rPr>
          <w:rFonts w:cs="Arial"/>
        </w:rPr>
        <w:t>web</w:t>
      </w:r>
      <w:r w:rsidR="00467B50">
        <w:rPr>
          <w:rFonts w:cs="Arial"/>
        </w:rPr>
        <w:t xml:space="preserve"> page</w:t>
      </w:r>
      <w:r w:rsidR="0013518A">
        <w:rPr>
          <w:rFonts w:cs="Arial"/>
        </w:rPr>
        <w:t xml:space="preserve"> at </w:t>
      </w:r>
      <w:hyperlink r:id="rId20" w:tooltip="CDE California SoS Webpage" w:history="1">
        <w:r w:rsidR="00A55E95" w:rsidRPr="003066E7">
          <w:rPr>
            <w:rStyle w:val="Hyperlink"/>
            <w:rFonts w:cs="Arial"/>
          </w:rPr>
          <w:t>https://www.cde.ca.gov/sp/sw/t1/csss.asp</w:t>
        </w:r>
      </w:hyperlink>
      <w:r w:rsidRPr="00AA7F8C">
        <w:rPr>
          <w:rFonts w:cs="Arial"/>
        </w:rPr>
        <w:t>.</w:t>
      </w:r>
    </w:p>
    <w:p w14:paraId="00D2B954" w14:textId="77777777" w:rsidR="00A926C4" w:rsidRPr="00A926C4" w:rsidRDefault="00A926C4" w:rsidP="003E7A3D">
      <w:pPr>
        <w:pStyle w:val="Heading4"/>
        <w:rPr>
          <w:lang w:val="en"/>
        </w:rPr>
      </w:pPr>
      <w:r w:rsidRPr="00A926C4">
        <w:rPr>
          <w:lang w:val="en"/>
        </w:rPr>
        <w:t>California Comprehensive State Literacy Plan</w:t>
      </w:r>
    </w:p>
    <w:p w14:paraId="2F1C7002" w14:textId="77777777" w:rsidR="00F26EB3" w:rsidRDefault="001F42BB" w:rsidP="004D3DDA">
      <w:pPr>
        <w:ind w:left="720"/>
        <w:rPr>
          <w:rFonts w:eastAsia="Times New Roman" w:cs="Arial"/>
          <w:bCs/>
          <w:color w:val="000000"/>
          <w:szCs w:val="24"/>
        </w:rPr>
      </w:pPr>
      <w:r>
        <w:rPr>
          <w:rFonts w:cs="Arial"/>
          <w:lang w:val="en"/>
        </w:rPr>
        <w:t>An important goal for the grantee</w:t>
      </w:r>
      <w:r w:rsidR="00FB6A4B">
        <w:rPr>
          <w:rFonts w:cs="Arial"/>
          <w:lang w:val="en"/>
        </w:rPr>
        <w:t xml:space="preserve"> </w:t>
      </w:r>
      <w:r>
        <w:rPr>
          <w:rFonts w:cs="Arial"/>
          <w:lang w:val="en"/>
        </w:rPr>
        <w:t xml:space="preserve">will be to </w:t>
      </w:r>
      <w:r w:rsidR="007614F8">
        <w:rPr>
          <w:rFonts w:cs="Arial"/>
          <w:lang w:val="en"/>
        </w:rPr>
        <w:t xml:space="preserve">support educators across the state in integrating and implementing state guidance on </w:t>
      </w:r>
      <w:r w:rsidR="00E7269C">
        <w:rPr>
          <w:rFonts w:cs="Arial"/>
          <w:lang w:val="en"/>
        </w:rPr>
        <w:t xml:space="preserve">high-quality </w:t>
      </w:r>
      <w:r w:rsidR="007614F8">
        <w:rPr>
          <w:rFonts w:cs="Arial"/>
          <w:lang w:val="en"/>
        </w:rPr>
        <w:t>literacy</w:t>
      </w:r>
      <w:r w:rsidR="00E7269C">
        <w:rPr>
          <w:rFonts w:cs="Arial"/>
          <w:lang w:val="en"/>
        </w:rPr>
        <w:t xml:space="preserve"> instruction</w:t>
      </w:r>
      <w:r w:rsidR="007614F8">
        <w:rPr>
          <w:rFonts w:cs="Arial"/>
          <w:lang w:val="en"/>
        </w:rPr>
        <w:t xml:space="preserve">. </w:t>
      </w:r>
      <w:r w:rsidR="00A55E95">
        <w:rPr>
          <w:rFonts w:cs="Arial"/>
          <w:lang w:val="en"/>
        </w:rPr>
        <w:t>The</w:t>
      </w:r>
      <w:r w:rsidR="000D75A6">
        <w:rPr>
          <w:rFonts w:cs="Arial"/>
          <w:lang w:val="en"/>
        </w:rPr>
        <w:t xml:space="preserve"> </w:t>
      </w:r>
      <w:r w:rsidR="0060189B" w:rsidRPr="002F505D">
        <w:rPr>
          <w:rFonts w:cs="Arial"/>
          <w:lang w:val="en"/>
        </w:rPr>
        <w:t>California Comprehensive State Literacy Plan (SLP)</w:t>
      </w:r>
      <w:r w:rsidR="000D75A6">
        <w:rPr>
          <w:rFonts w:cs="Arial"/>
          <w:lang w:val="en"/>
        </w:rPr>
        <w:t>, which</w:t>
      </w:r>
      <w:r w:rsidR="0060189B" w:rsidRPr="002F505D">
        <w:rPr>
          <w:rFonts w:cs="Arial"/>
          <w:lang w:val="en"/>
        </w:rPr>
        <w:t xml:space="preserve"> was adopted by the State Board of Education </w:t>
      </w:r>
      <w:r w:rsidR="00A83F66">
        <w:rPr>
          <w:rFonts w:cs="Arial"/>
          <w:lang w:val="en"/>
        </w:rPr>
        <w:t xml:space="preserve">(SBE) </w:t>
      </w:r>
      <w:r w:rsidR="0060189B" w:rsidRPr="002F505D">
        <w:rPr>
          <w:rFonts w:cs="Arial"/>
          <w:lang w:val="en"/>
        </w:rPr>
        <w:t>in March 202</w:t>
      </w:r>
      <w:r w:rsidR="000D75A6">
        <w:rPr>
          <w:rFonts w:cs="Arial"/>
          <w:lang w:val="en"/>
        </w:rPr>
        <w:t>1</w:t>
      </w:r>
      <w:r w:rsidR="00A55E95">
        <w:rPr>
          <w:rFonts w:cs="Arial"/>
          <w:lang w:val="en"/>
        </w:rPr>
        <w:t xml:space="preserve">, serves as a </w:t>
      </w:r>
      <w:r w:rsidR="00E7269C">
        <w:rPr>
          <w:rFonts w:cs="Arial"/>
          <w:lang w:val="en"/>
        </w:rPr>
        <w:t xml:space="preserve">primary </w:t>
      </w:r>
      <w:r w:rsidR="007614F8">
        <w:rPr>
          <w:rFonts w:cs="Arial"/>
          <w:lang w:val="en"/>
        </w:rPr>
        <w:t>resource</w:t>
      </w:r>
      <w:r w:rsidR="00A55E95">
        <w:rPr>
          <w:rFonts w:cs="Arial"/>
          <w:lang w:val="en"/>
        </w:rPr>
        <w:t xml:space="preserve"> document for grantee</w:t>
      </w:r>
      <w:r w:rsidR="00467B50">
        <w:rPr>
          <w:rFonts w:cs="Arial"/>
          <w:lang w:val="en"/>
        </w:rPr>
        <w:t>s</w:t>
      </w:r>
      <w:r w:rsidR="000D75A6">
        <w:rPr>
          <w:rFonts w:cs="Arial"/>
          <w:lang w:val="en"/>
        </w:rPr>
        <w:t>. The SLP is</w:t>
      </w:r>
      <w:r w:rsidR="00A926C4">
        <w:rPr>
          <w:rFonts w:cs="Arial"/>
          <w:lang w:val="en"/>
        </w:rPr>
        <w:t xml:space="preserve"> a foundational docum</w:t>
      </w:r>
      <w:r w:rsidR="00A926C4" w:rsidRPr="000D75A6">
        <w:rPr>
          <w:rFonts w:cs="Arial"/>
          <w:lang w:val="en"/>
        </w:rPr>
        <w:t>ent</w:t>
      </w:r>
      <w:r w:rsidR="000D75A6" w:rsidRPr="000D75A6">
        <w:rPr>
          <w:rFonts w:cs="Arial"/>
          <w:lang w:val="en"/>
        </w:rPr>
        <w:t xml:space="preserve"> designed</w:t>
      </w:r>
      <w:r w:rsidR="00A926C4" w:rsidRPr="000D75A6">
        <w:rPr>
          <w:rFonts w:cs="Arial"/>
          <w:lang w:val="en"/>
        </w:rPr>
        <w:t xml:space="preserve"> to align and integrate state literacy initiatives, content standards, and guidance documents to build local capacity to </w:t>
      </w:r>
      <w:r w:rsidR="00E7269C">
        <w:rPr>
          <w:rFonts w:cs="Arial"/>
          <w:lang w:val="en"/>
        </w:rPr>
        <w:t xml:space="preserve">effectively </w:t>
      </w:r>
      <w:r w:rsidR="00A926C4" w:rsidRPr="000D75A6">
        <w:rPr>
          <w:rFonts w:cs="Arial"/>
          <w:lang w:val="en"/>
        </w:rPr>
        <w:t>address student literacy needs</w:t>
      </w:r>
      <w:r w:rsidR="0060189B" w:rsidRPr="000D75A6">
        <w:rPr>
          <w:rFonts w:cs="Arial"/>
          <w:lang w:val="en"/>
        </w:rPr>
        <w:t>.</w:t>
      </w:r>
      <w:r w:rsidR="00E61D2B">
        <w:rPr>
          <w:rFonts w:cs="Arial"/>
          <w:lang w:val="en"/>
        </w:rPr>
        <w:t xml:space="preserve"> </w:t>
      </w:r>
    </w:p>
    <w:p w14:paraId="7101C1CF" w14:textId="77777777" w:rsidR="00F31AAC" w:rsidRDefault="00D2521C" w:rsidP="004D3DDA">
      <w:pPr>
        <w:ind w:left="720"/>
        <w:rPr>
          <w:rFonts w:eastAsia="Times New Roman" w:cs="Arial"/>
          <w:bCs/>
          <w:color w:val="000000"/>
          <w:szCs w:val="24"/>
        </w:rPr>
      </w:pPr>
      <w:r w:rsidRPr="00D2521C">
        <w:rPr>
          <w:rFonts w:cs="Arial"/>
          <w:color w:val="000000"/>
        </w:rPr>
        <w:t xml:space="preserve">The SLP provides a </w:t>
      </w:r>
      <w:r w:rsidR="006209CB">
        <w:rPr>
          <w:rFonts w:cs="Arial"/>
          <w:color w:val="000000"/>
        </w:rPr>
        <w:t>C</w:t>
      </w:r>
      <w:r w:rsidR="006209CB" w:rsidRPr="00D2521C">
        <w:rPr>
          <w:rFonts w:cs="Arial"/>
          <w:color w:val="000000"/>
        </w:rPr>
        <w:t xml:space="preserve">omprehensive </w:t>
      </w:r>
      <w:r w:rsidRPr="00D2521C">
        <w:rPr>
          <w:rFonts w:cs="Arial"/>
          <w:color w:val="000000"/>
        </w:rPr>
        <w:t xml:space="preserve">and </w:t>
      </w:r>
      <w:r w:rsidR="006209CB">
        <w:rPr>
          <w:rFonts w:cs="Arial"/>
          <w:color w:val="000000"/>
        </w:rPr>
        <w:t>I</w:t>
      </w:r>
      <w:r w:rsidRPr="00D2521C">
        <w:rPr>
          <w:rFonts w:cs="Arial"/>
          <w:color w:val="000000"/>
        </w:rPr>
        <w:t xml:space="preserve">ntegrated </w:t>
      </w:r>
      <w:r w:rsidR="006209CB">
        <w:rPr>
          <w:rFonts w:cs="Arial"/>
          <w:color w:val="000000"/>
        </w:rPr>
        <w:t>L</w:t>
      </w:r>
      <w:r w:rsidRPr="00D2521C">
        <w:rPr>
          <w:rFonts w:cs="Arial"/>
          <w:color w:val="000000"/>
        </w:rPr>
        <w:t xml:space="preserve">iteracy </w:t>
      </w:r>
      <w:r w:rsidR="006209CB">
        <w:rPr>
          <w:rFonts w:cs="Arial"/>
          <w:color w:val="000000"/>
        </w:rPr>
        <w:t>M</w:t>
      </w:r>
      <w:r w:rsidRPr="00D2521C">
        <w:rPr>
          <w:rFonts w:cs="Arial"/>
          <w:color w:val="000000"/>
        </w:rPr>
        <w:t xml:space="preserve">odel designed to set the direction for literacy programs statewide by aligning and integrating state literacy </w:t>
      </w:r>
      <w:r w:rsidR="00E7269C">
        <w:rPr>
          <w:rFonts w:cs="Arial"/>
          <w:color w:val="000000"/>
        </w:rPr>
        <w:t>guidance</w:t>
      </w:r>
      <w:r w:rsidRPr="00D2521C">
        <w:rPr>
          <w:rFonts w:cs="Arial"/>
          <w:color w:val="000000"/>
        </w:rPr>
        <w:t xml:space="preserve">. </w:t>
      </w:r>
      <w:r w:rsidR="00E7269C">
        <w:rPr>
          <w:rFonts w:cs="Arial"/>
          <w:color w:val="000000"/>
        </w:rPr>
        <w:t>This</w:t>
      </w:r>
      <w:r w:rsidR="00E7269C" w:rsidRPr="00D2521C">
        <w:rPr>
          <w:rFonts w:cs="Arial"/>
          <w:color w:val="000000"/>
        </w:rPr>
        <w:t xml:space="preserve"> </w:t>
      </w:r>
      <w:r w:rsidRPr="00D2521C">
        <w:rPr>
          <w:rFonts w:cs="Arial"/>
          <w:color w:val="000000"/>
        </w:rPr>
        <w:t>model ensures high-quality literacy instruction occurs within the context of inclusive and equitable systems of schooling featuring high levels of engagement, a focus on continuous improvement, and application of the California’s Multi-Tiered System</w:t>
      </w:r>
      <w:r w:rsidR="00452BCA">
        <w:rPr>
          <w:rFonts w:cs="Arial"/>
          <w:color w:val="000000"/>
        </w:rPr>
        <w:t>s</w:t>
      </w:r>
      <w:r w:rsidRPr="00D2521C">
        <w:rPr>
          <w:rFonts w:cs="Arial"/>
          <w:color w:val="000000"/>
        </w:rPr>
        <w:t xml:space="preserve"> of Support (MTSS) Framework. </w:t>
      </w:r>
      <w:r w:rsidR="000D75A6">
        <w:rPr>
          <w:rFonts w:eastAsia="Times New Roman" w:cs="Arial"/>
          <w:bCs/>
          <w:color w:val="000000"/>
          <w:szCs w:val="24"/>
        </w:rPr>
        <w:t>This</w:t>
      </w:r>
      <w:r w:rsidR="00DE1304" w:rsidRPr="006C065B">
        <w:rPr>
          <w:rFonts w:eastAsia="Times New Roman" w:cs="Arial"/>
          <w:bCs/>
          <w:color w:val="000000"/>
          <w:szCs w:val="24"/>
        </w:rPr>
        <w:t xml:space="preserve"> inclusive and equitable system of supports for all students</w:t>
      </w:r>
      <w:r w:rsidR="000D75A6">
        <w:rPr>
          <w:rFonts w:eastAsia="Times New Roman" w:cs="Arial"/>
          <w:bCs/>
          <w:color w:val="000000"/>
          <w:szCs w:val="24"/>
        </w:rPr>
        <w:t xml:space="preserve"> requires</w:t>
      </w:r>
      <w:r w:rsidR="00E7269C">
        <w:rPr>
          <w:rFonts w:eastAsia="Times New Roman" w:cs="Arial"/>
          <w:bCs/>
          <w:color w:val="000000"/>
          <w:szCs w:val="24"/>
        </w:rPr>
        <w:t>:</w:t>
      </w:r>
      <w:r w:rsidR="000D75A6">
        <w:rPr>
          <w:rFonts w:eastAsia="Times New Roman" w:cs="Arial"/>
          <w:bCs/>
          <w:color w:val="000000"/>
          <w:szCs w:val="24"/>
        </w:rPr>
        <w:t xml:space="preserve"> </w:t>
      </w:r>
    </w:p>
    <w:p w14:paraId="6B7519AC" w14:textId="77777777" w:rsidR="00F31AAC" w:rsidRDefault="00467B50" w:rsidP="004D3DDA">
      <w:pPr>
        <w:pStyle w:val="ListParagraph"/>
        <w:numPr>
          <w:ilvl w:val="0"/>
          <w:numId w:val="59"/>
        </w:numPr>
        <w:ind w:left="1440"/>
        <w:rPr>
          <w:rFonts w:eastAsia="Times New Roman" w:cs="Arial"/>
          <w:bCs/>
          <w:color w:val="000000"/>
          <w:szCs w:val="24"/>
        </w:rPr>
      </w:pPr>
      <w:r>
        <w:rPr>
          <w:rFonts w:eastAsia="Times New Roman" w:cs="Arial"/>
          <w:bCs/>
          <w:color w:val="000000"/>
          <w:szCs w:val="24"/>
        </w:rPr>
        <w:t>A</w:t>
      </w:r>
      <w:r w:rsidR="000D75A6" w:rsidRPr="00F31AAC">
        <w:rPr>
          <w:rFonts w:eastAsia="Times New Roman" w:cs="Arial"/>
          <w:bCs/>
          <w:color w:val="000000"/>
          <w:szCs w:val="24"/>
        </w:rPr>
        <w:t xml:space="preserve"> focus on</w:t>
      </w:r>
      <w:r w:rsidR="00DE1304" w:rsidRPr="00F31AAC">
        <w:rPr>
          <w:rFonts w:eastAsia="Times New Roman" w:cs="Arial"/>
          <w:bCs/>
          <w:color w:val="000000"/>
          <w:szCs w:val="24"/>
        </w:rPr>
        <w:t xml:space="preserve"> family and community engagement</w:t>
      </w:r>
      <w:r w:rsidR="00F31AAC">
        <w:rPr>
          <w:rFonts w:eastAsia="Times New Roman" w:cs="Arial"/>
          <w:bCs/>
          <w:color w:val="000000"/>
          <w:szCs w:val="24"/>
        </w:rPr>
        <w:t>;</w:t>
      </w:r>
    </w:p>
    <w:p w14:paraId="0666BA46" w14:textId="77777777" w:rsidR="00F31AAC" w:rsidRDefault="00467B50" w:rsidP="004D3DDA">
      <w:pPr>
        <w:pStyle w:val="ListParagraph"/>
        <w:numPr>
          <w:ilvl w:val="0"/>
          <w:numId w:val="59"/>
        </w:numPr>
        <w:ind w:left="1440"/>
        <w:rPr>
          <w:rFonts w:eastAsia="Times New Roman" w:cs="Arial"/>
          <w:bCs/>
          <w:color w:val="000000"/>
          <w:szCs w:val="24"/>
        </w:rPr>
      </w:pPr>
      <w:r>
        <w:rPr>
          <w:rFonts w:eastAsia="Times New Roman" w:cs="Arial"/>
          <w:bCs/>
          <w:color w:val="000000"/>
          <w:szCs w:val="24"/>
        </w:rPr>
        <w:t>C</w:t>
      </w:r>
      <w:r w:rsidR="00DE1304" w:rsidRPr="00F31AAC">
        <w:rPr>
          <w:rFonts w:eastAsia="Times New Roman" w:cs="Arial"/>
          <w:bCs/>
          <w:color w:val="000000"/>
          <w:szCs w:val="24"/>
        </w:rPr>
        <w:t>elebration of diversity and an asset-based approach</w:t>
      </w:r>
      <w:r w:rsidR="00F31AAC">
        <w:rPr>
          <w:rFonts w:eastAsia="Times New Roman" w:cs="Arial"/>
          <w:bCs/>
          <w:color w:val="000000"/>
          <w:szCs w:val="24"/>
        </w:rPr>
        <w:t>;</w:t>
      </w:r>
    </w:p>
    <w:p w14:paraId="2E04BA5D" w14:textId="77777777" w:rsidR="00F31AAC" w:rsidRDefault="00467B50" w:rsidP="004D3DDA">
      <w:pPr>
        <w:pStyle w:val="ListParagraph"/>
        <w:numPr>
          <w:ilvl w:val="0"/>
          <w:numId w:val="59"/>
        </w:numPr>
        <w:ind w:left="1440"/>
        <w:rPr>
          <w:rFonts w:eastAsia="Times New Roman" w:cs="Arial"/>
          <w:bCs/>
          <w:color w:val="000000"/>
          <w:szCs w:val="24"/>
        </w:rPr>
      </w:pPr>
      <w:r>
        <w:rPr>
          <w:rFonts w:eastAsia="Times New Roman" w:cs="Arial"/>
          <w:bCs/>
          <w:color w:val="000000"/>
          <w:szCs w:val="24"/>
        </w:rPr>
        <w:t>A</w:t>
      </w:r>
      <w:r w:rsidR="00DE1304" w:rsidRPr="00F31AAC">
        <w:rPr>
          <w:rFonts w:eastAsia="Times New Roman" w:cs="Arial"/>
          <w:bCs/>
          <w:color w:val="000000"/>
          <w:szCs w:val="24"/>
        </w:rPr>
        <w:t>ttention to whole child needs</w:t>
      </w:r>
      <w:r w:rsidR="00452BCA">
        <w:rPr>
          <w:rFonts w:eastAsia="Times New Roman" w:cs="Arial"/>
          <w:bCs/>
          <w:color w:val="000000"/>
          <w:szCs w:val="24"/>
        </w:rPr>
        <w:t>;</w:t>
      </w:r>
    </w:p>
    <w:p w14:paraId="066E5EB3" w14:textId="77777777" w:rsidR="00F31AAC" w:rsidRPr="00F31AAC" w:rsidRDefault="00467B50" w:rsidP="004D3DDA">
      <w:pPr>
        <w:pStyle w:val="ListParagraph"/>
        <w:numPr>
          <w:ilvl w:val="0"/>
          <w:numId w:val="59"/>
        </w:numPr>
        <w:ind w:left="1440"/>
        <w:rPr>
          <w:rFonts w:eastAsia="Times New Roman" w:cs="Arial"/>
          <w:bCs/>
          <w:color w:val="000000"/>
          <w:szCs w:val="24"/>
        </w:rPr>
      </w:pPr>
      <w:r>
        <w:rPr>
          <w:rFonts w:eastAsia="Times New Roman" w:cs="Arial"/>
          <w:bCs/>
          <w:color w:val="000000"/>
          <w:szCs w:val="24"/>
        </w:rPr>
        <w:t>A</w:t>
      </w:r>
      <w:r w:rsidR="00DE1304" w:rsidRPr="00F31AAC">
        <w:rPr>
          <w:rFonts w:eastAsia="Times New Roman" w:cs="Arial"/>
          <w:bCs/>
          <w:color w:val="000000"/>
          <w:szCs w:val="24"/>
        </w:rPr>
        <w:t>nd well-prepared and supported teachers and leaders.</w:t>
      </w:r>
      <w:r w:rsidR="00BF1C15">
        <w:rPr>
          <w:rStyle w:val="FootnoteReference"/>
          <w:rFonts w:eastAsia="Times New Roman" w:cs="Arial"/>
          <w:bCs/>
          <w:color w:val="000000"/>
          <w:szCs w:val="24"/>
        </w:rPr>
        <w:footnoteReference w:id="1"/>
      </w:r>
      <w:r w:rsidR="00175148" w:rsidRPr="00F31AAC">
        <w:rPr>
          <w:rFonts w:eastAsia="Times New Roman" w:cs="Arial"/>
          <w:bCs/>
          <w:color w:val="000000"/>
          <w:szCs w:val="24"/>
        </w:rPr>
        <w:t xml:space="preserve"> </w:t>
      </w:r>
    </w:p>
    <w:p w14:paraId="5333B57E" w14:textId="7B22D48D" w:rsidR="007F78E3" w:rsidRDefault="00E7269C" w:rsidP="005D07E0">
      <w:pPr>
        <w:spacing w:after="480"/>
        <w:ind w:left="720"/>
        <w:rPr>
          <w:rFonts w:eastAsia="Times New Roman" w:cs="Arial"/>
          <w:bCs/>
          <w:color w:val="000000"/>
          <w:sz w:val="22"/>
        </w:rPr>
      </w:pPr>
      <w:r>
        <w:rPr>
          <w:rFonts w:cs="Arial"/>
          <w:color w:val="000000"/>
          <w:szCs w:val="24"/>
        </w:rPr>
        <w:t>A downloadable version of t</w:t>
      </w:r>
      <w:r w:rsidR="001F42BB" w:rsidRPr="00F31AAC">
        <w:rPr>
          <w:rFonts w:cs="Arial"/>
          <w:color w:val="000000"/>
          <w:szCs w:val="24"/>
        </w:rPr>
        <w:t xml:space="preserve">he SLP is available on the CDE </w:t>
      </w:r>
      <w:r w:rsidR="00467B50">
        <w:rPr>
          <w:rFonts w:cs="Arial"/>
          <w:color w:val="000000"/>
          <w:szCs w:val="24"/>
        </w:rPr>
        <w:t>SLP Development web page</w:t>
      </w:r>
      <w:r w:rsidR="001F42BB" w:rsidRPr="00F31AAC">
        <w:rPr>
          <w:rFonts w:cs="Arial"/>
          <w:color w:val="000000"/>
          <w:szCs w:val="24"/>
        </w:rPr>
        <w:t xml:space="preserve"> at</w:t>
      </w:r>
      <w:r>
        <w:rPr>
          <w:rFonts w:cs="Arial"/>
          <w:color w:val="000000"/>
          <w:szCs w:val="24"/>
        </w:rPr>
        <w:t xml:space="preserve"> </w:t>
      </w:r>
      <w:hyperlink r:id="rId21" w:tooltip="State Literacy Plan Development" w:history="1">
        <w:r w:rsidRPr="00E7269C">
          <w:rPr>
            <w:rStyle w:val="Hyperlink"/>
          </w:rPr>
          <w:t>https://www.cde.ca.gov/pd/ps/slpdevelopment.asp</w:t>
        </w:r>
      </w:hyperlink>
      <w:r w:rsidR="001F42BB">
        <w:t>.</w:t>
      </w:r>
    </w:p>
    <w:p w14:paraId="01C69305" w14:textId="77777777" w:rsidR="005667F9" w:rsidRPr="006E7483" w:rsidRDefault="00467B50" w:rsidP="003E7A3D">
      <w:pPr>
        <w:pStyle w:val="Heading4"/>
        <w:rPr>
          <w:rFonts w:eastAsia="Times New Roman"/>
        </w:rPr>
      </w:pPr>
      <w:r>
        <w:rPr>
          <w:rFonts w:eastAsia="Times New Roman"/>
        </w:rPr>
        <w:lastRenderedPageBreak/>
        <w:t>Multi-Tiered System of Support</w:t>
      </w:r>
    </w:p>
    <w:p w14:paraId="3A02DE0A" w14:textId="77777777" w:rsidR="006E7483" w:rsidRDefault="00F26EB3" w:rsidP="006E7483">
      <w:pPr>
        <w:spacing w:after="0"/>
        <w:ind w:left="720"/>
        <w:rPr>
          <w:rFonts w:eastAsia="Times New Roman" w:cs="Arial"/>
          <w:bCs/>
          <w:color w:val="000000"/>
          <w:szCs w:val="24"/>
        </w:rPr>
      </w:pPr>
      <w:r w:rsidRPr="003727C6">
        <w:rPr>
          <w:rFonts w:eastAsia="Times New Roman" w:cs="Arial"/>
          <w:bCs/>
          <w:color w:val="000000"/>
          <w:szCs w:val="24"/>
        </w:rPr>
        <w:t xml:space="preserve">MTSS is an integrated, comprehensive framework that focuses on </w:t>
      </w:r>
      <w:r w:rsidR="003727C6">
        <w:rPr>
          <w:rFonts w:eastAsia="Times New Roman" w:cs="Arial"/>
          <w:bCs/>
          <w:color w:val="000000"/>
          <w:szCs w:val="24"/>
        </w:rPr>
        <w:t xml:space="preserve">the </w:t>
      </w:r>
      <w:r w:rsidR="00E319EE">
        <w:rPr>
          <w:rFonts w:eastAsia="Times New Roman" w:cs="Arial"/>
          <w:bCs/>
          <w:color w:val="000000"/>
          <w:szCs w:val="24"/>
        </w:rPr>
        <w:t xml:space="preserve">California </w:t>
      </w:r>
      <w:r w:rsidR="003727C6">
        <w:rPr>
          <w:rFonts w:eastAsia="Times New Roman" w:cs="Arial"/>
          <w:bCs/>
          <w:color w:val="000000"/>
          <w:szCs w:val="24"/>
        </w:rPr>
        <w:t>Common Core State Standards (</w:t>
      </w:r>
      <w:r w:rsidRPr="003727C6">
        <w:rPr>
          <w:rFonts w:eastAsia="Times New Roman" w:cs="Arial"/>
          <w:bCs/>
          <w:color w:val="000000"/>
          <w:szCs w:val="24"/>
        </w:rPr>
        <w:t>CCSS</w:t>
      </w:r>
      <w:r w:rsidR="003727C6">
        <w:rPr>
          <w:rFonts w:eastAsia="Times New Roman" w:cs="Arial"/>
          <w:bCs/>
          <w:color w:val="000000"/>
          <w:szCs w:val="24"/>
        </w:rPr>
        <w:t>)</w:t>
      </w:r>
      <w:r w:rsidRPr="003727C6">
        <w:rPr>
          <w:rFonts w:eastAsia="Times New Roman" w:cs="Arial"/>
          <w:bCs/>
          <w:color w:val="000000"/>
          <w:szCs w:val="24"/>
        </w:rPr>
        <w:t>, core instruction, differentiated learning, student-centered learning, individualized student needs, and the alignment of systems necessary for all students’ academic, behavioral,</w:t>
      </w:r>
      <w:r w:rsidR="004769D6" w:rsidRPr="003727C6">
        <w:rPr>
          <w:rFonts w:eastAsia="Times New Roman" w:cs="Arial"/>
          <w:bCs/>
          <w:color w:val="000000"/>
          <w:szCs w:val="24"/>
        </w:rPr>
        <w:t xml:space="preserve"> </w:t>
      </w:r>
      <w:r w:rsidRPr="003727C6">
        <w:rPr>
          <w:rFonts w:eastAsia="Times New Roman" w:cs="Arial"/>
          <w:bCs/>
          <w:color w:val="000000"/>
          <w:szCs w:val="24"/>
        </w:rPr>
        <w:t>and social success.</w:t>
      </w:r>
      <w:r w:rsidR="004769D6" w:rsidRPr="003727C6">
        <w:rPr>
          <w:rStyle w:val="FootnoteReference"/>
          <w:rFonts w:eastAsia="Times New Roman" w:cs="Arial"/>
          <w:bCs/>
          <w:color w:val="000000"/>
          <w:szCs w:val="24"/>
        </w:rPr>
        <w:footnoteReference w:id="2"/>
      </w:r>
      <w:r w:rsidRPr="00F26EB3">
        <w:rPr>
          <w:rFonts w:eastAsia="Times New Roman" w:cs="Arial"/>
          <w:bCs/>
          <w:color w:val="000000"/>
          <w:szCs w:val="24"/>
        </w:rPr>
        <w:t xml:space="preserve"> </w:t>
      </w:r>
    </w:p>
    <w:p w14:paraId="1B0CFA75" w14:textId="77777777" w:rsidR="00E61D2B" w:rsidRDefault="00A83F66" w:rsidP="004D3DDA">
      <w:pPr>
        <w:ind w:left="720"/>
        <w:rPr>
          <w:rFonts w:eastAsia="Times New Roman" w:cs="Arial"/>
          <w:bCs/>
          <w:color w:val="000000"/>
          <w:szCs w:val="24"/>
        </w:rPr>
      </w:pPr>
      <w:r>
        <w:rPr>
          <w:rFonts w:eastAsia="Times New Roman" w:cs="Arial"/>
          <w:bCs/>
          <w:color w:val="000000"/>
          <w:szCs w:val="24"/>
        </w:rPr>
        <w:t xml:space="preserve">In addition to the SLP, </w:t>
      </w:r>
      <w:r w:rsidR="00352873" w:rsidRPr="006C065B">
        <w:rPr>
          <w:rFonts w:eastAsia="Times New Roman" w:cs="Arial"/>
          <w:bCs/>
          <w:color w:val="000000"/>
          <w:szCs w:val="24"/>
        </w:rPr>
        <w:t xml:space="preserve">PL through the RII </w:t>
      </w:r>
      <w:r w:rsidR="00467B50">
        <w:rPr>
          <w:rFonts w:eastAsia="Times New Roman" w:cs="Arial"/>
          <w:bCs/>
          <w:color w:val="000000"/>
          <w:szCs w:val="24"/>
        </w:rPr>
        <w:t>G</w:t>
      </w:r>
      <w:r w:rsidR="00352873">
        <w:rPr>
          <w:rFonts w:eastAsia="Times New Roman" w:cs="Arial"/>
          <w:bCs/>
          <w:color w:val="000000"/>
          <w:szCs w:val="24"/>
        </w:rPr>
        <w:t xml:space="preserve">rant </w:t>
      </w:r>
      <w:r w:rsidR="00467B50">
        <w:rPr>
          <w:rFonts w:eastAsia="Times New Roman" w:cs="Arial"/>
          <w:bCs/>
          <w:color w:val="000000"/>
          <w:szCs w:val="24"/>
        </w:rPr>
        <w:t>P</w:t>
      </w:r>
      <w:r w:rsidR="00E7269C">
        <w:rPr>
          <w:rFonts w:eastAsia="Times New Roman" w:cs="Arial"/>
          <w:bCs/>
          <w:color w:val="000000"/>
          <w:szCs w:val="24"/>
        </w:rPr>
        <w:t xml:space="preserve">rogram </w:t>
      </w:r>
      <w:r w:rsidR="00352873" w:rsidRPr="006C065B">
        <w:rPr>
          <w:rFonts w:eastAsia="Times New Roman" w:cs="Arial"/>
          <w:bCs/>
          <w:color w:val="000000"/>
          <w:szCs w:val="24"/>
        </w:rPr>
        <w:t xml:space="preserve">should be aligned </w:t>
      </w:r>
      <w:r w:rsidR="00E7269C">
        <w:rPr>
          <w:rFonts w:eastAsia="Times New Roman" w:cs="Arial"/>
          <w:bCs/>
          <w:color w:val="000000"/>
          <w:szCs w:val="24"/>
        </w:rPr>
        <w:t xml:space="preserve">to </w:t>
      </w:r>
      <w:r w:rsidR="00352873">
        <w:rPr>
          <w:rFonts w:eastAsia="Times New Roman" w:cs="Arial"/>
          <w:bCs/>
          <w:color w:val="000000"/>
          <w:szCs w:val="24"/>
        </w:rPr>
        <w:t>the</w:t>
      </w:r>
      <w:r>
        <w:rPr>
          <w:rFonts w:eastAsia="Times New Roman" w:cs="Arial"/>
          <w:bCs/>
          <w:color w:val="000000"/>
          <w:szCs w:val="24"/>
        </w:rPr>
        <w:t xml:space="preserve"> following</w:t>
      </w:r>
      <w:r w:rsidR="00175148" w:rsidRPr="006C065B">
        <w:rPr>
          <w:rFonts w:eastAsia="Times New Roman" w:cs="Arial"/>
          <w:bCs/>
          <w:color w:val="000000"/>
          <w:szCs w:val="24"/>
        </w:rPr>
        <w:t xml:space="preserve"> CDE resources </w:t>
      </w:r>
      <w:r w:rsidR="00352873">
        <w:rPr>
          <w:rFonts w:eastAsia="Times New Roman" w:cs="Arial"/>
          <w:bCs/>
          <w:color w:val="000000"/>
          <w:szCs w:val="24"/>
        </w:rPr>
        <w:t xml:space="preserve">that </w:t>
      </w:r>
      <w:r w:rsidR="00175148" w:rsidRPr="006C065B">
        <w:rPr>
          <w:rFonts w:eastAsia="Times New Roman" w:cs="Arial"/>
          <w:bCs/>
          <w:color w:val="000000"/>
          <w:szCs w:val="24"/>
        </w:rPr>
        <w:t>support literacy in strong MTSS</w:t>
      </w:r>
      <w:r w:rsidR="00D2521C">
        <w:rPr>
          <w:rFonts w:eastAsia="Times New Roman" w:cs="Arial"/>
          <w:bCs/>
          <w:color w:val="000000"/>
          <w:szCs w:val="24"/>
        </w:rPr>
        <w:t xml:space="preserve"> first instruction</w:t>
      </w:r>
      <w:r w:rsidR="00E7269C">
        <w:rPr>
          <w:rFonts w:eastAsia="Times New Roman" w:cs="Arial"/>
          <w:bCs/>
          <w:color w:val="000000"/>
          <w:szCs w:val="24"/>
        </w:rPr>
        <w:t xml:space="preserve"> (Tier 1</w:t>
      </w:r>
      <w:r w:rsidR="000534B2">
        <w:rPr>
          <w:rFonts w:eastAsia="Times New Roman" w:cs="Arial"/>
          <w:bCs/>
          <w:color w:val="000000"/>
          <w:szCs w:val="24"/>
        </w:rPr>
        <w:t>)</w:t>
      </w:r>
      <w:r w:rsidR="00E7269C">
        <w:rPr>
          <w:rFonts w:eastAsia="Times New Roman" w:cs="Arial"/>
          <w:bCs/>
          <w:color w:val="000000"/>
          <w:szCs w:val="24"/>
        </w:rPr>
        <w:t>:</w:t>
      </w:r>
    </w:p>
    <w:p w14:paraId="5BF1164C" w14:textId="3DC8CAF8" w:rsidR="00FF55B8" w:rsidRDefault="00FF55B8" w:rsidP="004D3DDA">
      <w:pPr>
        <w:widowControl w:val="0"/>
        <w:numPr>
          <w:ilvl w:val="0"/>
          <w:numId w:val="52"/>
        </w:numPr>
        <w:autoSpaceDE w:val="0"/>
        <w:autoSpaceDN w:val="0"/>
        <w:adjustRightInd w:val="0"/>
        <w:ind w:left="1440"/>
        <w:rPr>
          <w:rFonts w:cs="Arial"/>
          <w:color w:val="000000"/>
          <w:szCs w:val="24"/>
        </w:rPr>
      </w:pPr>
      <w:r>
        <w:rPr>
          <w:rFonts w:cs="Arial"/>
          <w:color w:val="000000"/>
          <w:szCs w:val="24"/>
        </w:rPr>
        <w:t xml:space="preserve">The </w:t>
      </w:r>
      <w:r w:rsidR="00E319EE">
        <w:rPr>
          <w:rFonts w:cs="Arial"/>
          <w:color w:val="000000"/>
          <w:szCs w:val="24"/>
        </w:rPr>
        <w:t xml:space="preserve">California </w:t>
      </w:r>
      <w:r w:rsidR="003727C6">
        <w:rPr>
          <w:rFonts w:cs="Arial"/>
          <w:color w:val="000000"/>
          <w:szCs w:val="24"/>
        </w:rPr>
        <w:t>CCSS</w:t>
      </w:r>
      <w:r>
        <w:rPr>
          <w:rFonts w:cs="Arial"/>
          <w:color w:val="000000"/>
          <w:szCs w:val="24"/>
        </w:rPr>
        <w:t xml:space="preserve"> for English Language Arts (ELA)/Literacy, available on the CDE </w:t>
      </w:r>
      <w:r w:rsidR="00467B50">
        <w:rPr>
          <w:rFonts w:cs="Arial"/>
          <w:color w:val="000000"/>
          <w:szCs w:val="24"/>
        </w:rPr>
        <w:t>CCSS web page</w:t>
      </w:r>
      <w:r>
        <w:rPr>
          <w:rFonts w:cs="Arial"/>
          <w:color w:val="000000"/>
          <w:szCs w:val="24"/>
        </w:rPr>
        <w:t xml:space="preserve"> at </w:t>
      </w:r>
      <w:hyperlink r:id="rId22" w:tooltip="Common Core State Standards" w:history="1">
        <w:r>
          <w:rPr>
            <w:rStyle w:val="Hyperlink"/>
          </w:rPr>
          <w:t>https://www.cde.ca.gov/re/cc/</w:t>
        </w:r>
      </w:hyperlink>
      <w:r>
        <w:t>.</w:t>
      </w:r>
    </w:p>
    <w:p w14:paraId="4AF13980" w14:textId="2407339A" w:rsidR="00FF55B8" w:rsidRDefault="00FF55B8" w:rsidP="004D3DDA">
      <w:pPr>
        <w:widowControl w:val="0"/>
        <w:numPr>
          <w:ilvl w:val="0"/>
          <w:numId w:val="52"/>
        </w:numPr>
        <w:autoSpaceDE w:val="0"/>
        <w:autoSpaceDN w:val="0"/>
        <w:adjustRightInd w:val="0"/>
        <w:ind w:left="1440"/>
        <w:rPr>
          <w:rFonts w:cs="Arial"/>
          <w:color w:val="000000"/>
          <w:szCs w:val="24"/>
        </w:rPr>
      </w:pPr>
      <w:r w:rsidRPr="003657F7">
        <w:rPr>
          <w:rFonts w:cs="Arial"/>
          <w:color w:val="000000"/>
          <w:szCs w:val="24"/>
        </w:rPr>
        <w:t>The</w:t>
      </w:r>
      <w:r>
        <w:rPr>
          <w:rFonts w:cs="Arial"/>
          <w:color w:val="000000"/>
          <w:szCs w:val="24"/>
        </w:rPr>
        <w:t xml:space="preserve"> California</w:t>
      </w:r>
      <w:r w:rsidRPr="003657F7">
        <w:rPr>
          <w:rFonts w:cs="Arial"/>
          <w:color w:val="000000"/>
          <w:szCs w:val="24"/>
        </w:rPr>
        <w:t xml:space="preserve"> English Language Development </w:t>
      </w:r>
      <w:r w:rsidR="00A41C84">
        <w:rPr>
          <w:rFonts w:cs="Arial"/>
          <w:color w:val="000000"/>
          <w:szCs w:val="24"/>
        </w:rPr>
        <w:t xml:space="preserve">(ELD) </w:t>
      </w:r>
      <w:r w:rsidRPr="003657F7">
        <w:rPr>
          <w:rFonts w:cs="Arial"/>
          <w:color w:val="000000"/>
          <w:szCs w:val="24"/>
        </w:rPr>
        <w:t>Standards</w:t>
      </w:r>
      <w:r>
        <w:rPr>
          <w:rFonts w:cs="Arial"/>
          <w:color w:val="000000"/>
          <w:szCs w:val="24"/>
        </w:rPr>
        <w:t xml:space="preserve">, available on the CDE </w:t>
      </w:r>
      <w:r w:rsidR="00467B50">
        <w:rPr>
          <w:rFonts w:cs="Arial"/>
          <w:color w:val="000000"/>
          <w:szCs w:val="24"/>
        </w:rPr>
        <w:t>ELD Standards web page</w:t>
      </w:r>
      <w:r>
        <w:rPr>
          <w:rFonts w:cs="Arial"/>
          <w:color w:val="000000"/>
          <w:szCs w:val="24"/>
        </w:rPr>
        <w:t xml:space="preserve"> at </w:t>
      </w:r>
      <w:hyperlink r:id="rId23" w:tooltip="California English Language Development Standards" w:history="1">
        <w:r>
          <w:rPr>
            <w:rStyle w:val="Hyperlink"/>
          </w:rPr>
          <w:t>https://www.cde.ca.gov/sp/el/er/eldstandards.asp</w:t>
        </w:r>
      </w:hyperlink>
      <w:r>
        <w:t>.</w:t>
      </w:r>
    </w:p>
    <w:p w14:paraId="2337BFD0" w14:textId="2E89F651" w:rsidR="00FF55B8" w:rsidRPr="006E7483" w:rsidRDefault="00FF55B8" w:rsidP="004D3DDA">
      <w:pPr>
        <w:widowControl w:val="0"/>
        <w:numPr>
          <w:ilvl w:val="0"/>
          <w:numId w:val="52"/>
        </w:numPr>
        <w:autoSpaceDE w:val="0"/>
        <w:autoSpaceDN w:val="0"/>
        <w:adjustRightInd w:val="0"/>
        <w:ind w:left="1440"/>
        <w:rPr>
          <w:rFonts w:cs="Arial"/>
          <w:color w:val="000000"/>
          <w:szCs w:val="24"/>
        </w:rPr>
      </w:pPr>
      <w:r w:rsidRPr="006E7483">
        <w:rPr>
          <w:rFonts w:cs="Arial"/>
          <w:szCs w:val="24"/>
        </w:rPr>
        <w:t xml:space="preserve">The </w:t>
      </w:r>
      <w:r w:rsidRPr="006E7483">
        <w:rPr>
          <w:rFonts w:cs="Arial"/>
          <w:color w:val="000000"/>
          <w:shd w:val="clear" w:color="auto" w:fill="FFFFFF"/>
        </w:rPr>
        <w:t xml:space="preserve">ELA/ELD Framework, including the five key themes of meaning making, language development, effective expression, content knowledge, and foundational skills. The ELA/ELD </w:t>
      </w:r>
      <w:r w:rsidR="00467B50">
        <w:rPr>
          <w:rFonts w:cs="Arial"/>
          <w:color w:val="000000"/>
          <w:shd w:val="clear" w:color="auto" w:fill="FFFFFF"/>
        </w:rPr>
        <w:t>F</w:t>
      </w:r>
      <w:r w:rsidRPr="006E7483">
        <w:rPr>
          <w:rFonts w:cs="Arial"/>
          <w:color w:val="000000"/>
          <w:shd w:val="clear" w:color="auto" w:fill="FFFFFF"/>
        </w:rPr>
        <w:t xml:space="preserve">ramework is available on the CDE </w:t>
      </w:r>
      <w:r w:rsidR="00467B50">
        <w:rPr>
          <w:rFonts w:cs="Arial"/>
          <w:color w:val="000000"/>
          <w:shd w:val="clear" w:color="auto" w:fill="FFFFFF"/>
        </w:rPr>
        <w:t>ELA/ELD Framework web page</w:t>
      </w:r>
      <w:r w:rsidRPr="006E7483">
        <w:rPr>
          <w:rFonts w:cs="Arial"/>
          <w:szCs w:val="24"/>
        </w:rPr>
        <w:t xml:space="preserve"> at </w:t>
      </w:r>
      <w:hyperlink r:id="rId24" w:tooltip="English Language Arts/English Language Development Framework" w:history="1">
        <w:r w:rsidRPr="006E7483">
          <w:rPr>
            <w:rStyle w:val="Hyperlink"/>
            <w:rFonts w:cs="Arial"/>
          </w:rPr>
          <w:t>https://www.cde.ca.gov/ci/rl/cf/</w:t>
        </w:r>
      </w:hyperlink>
      <w:r w:rsidRPr="006E7483">
        <w:rPr>
          <w:rFonts w:cs="Arial"/>
        </w:rPr>
        <w:t xml:space="preserve">. </w:t>
      </w:r>
    </w:p>
    <w:p w14:paraId="2CC66003" w14:textId="52BD97C2" w:rsidR="00FF55B8" w:rsidRPr="006E7483" w:rsidRDefault="00FF55B8" w:rsidP="004D3DDA">
      <w:pPr>
        <w:widowControl w:val="0"/>
        <w:numPr>
          <w:ilvl w:val="0"/>
          <w:numId w:val="52"/>
        </w:numPr>
        <w:autoSpaceDE w:val="0"/>
        <w:autoSpaceDN w:val="0"/>
        <w:adjustRightInd w:val="0"/>
        <w:ind w:left="1440"/>
        <w:rPr>
          <w:rFonts w:cs="Arial"/>
          <w:color w:val="000000"/>
          <w:szCs w:val="24"/>
        </w:rPr>
      </w:pPr>
      <w:r w:rsidRPr="006E7483">
        <w:rPr>
          <w:rFonts w:cs="Arial"/>
          <w:color w:val="000000"/>
          <w:szCs w:val="24"/>
        </w:rPr>
        <w:t xml:space="preserve">The California Dyslexia Guidelines, </w:t>
      </w:r>
      <w:r w:rsidRPr="006E7483">
        <w:rPr>
          <w:rFonts w:cs="Arial"/>
          <w:color w:val="000000"/>
          <w:shd w:val="clear" w:color="auto" w:fill="FFFFFF"/>
        </w:rPr>
        <w:t xml:space="preserve">available on the CDE </w:t>
      </w:r>
      <w:r w:rsidR="00467B50">
        <w:rPr>
          <w:rFonts w:cs="Arial"/>
          <w:color w:val="000000"/>
          <w:shd w:val="clear" w:color="auto" w:fill="FFFFFF"/>
        </w:rPr>
        <w:t>Dyslexia web page</w:t>
      </w:r>
      <w:r w:rsidRPr="006E7483">
        <w:rPr>
          <w:rFonts w:cs="Arial"/>
          <w:szCs w:val="24"/>
        </w:rPr>
        <w:t xml:space="preserve"> at </w:t>
      </w:r>
      <w:hyperlink r:id="rId25" w:tooltip="California Dyslexia Guidelines" w:history="1">
        <w:r w:rsidRPr="006E7483">
          <w:rPr>
            <w:rStyle w:val="Hyperlink"/>
            <w:rFonts w:cs="Arial"/>
          </w:rPr>
          <w:t>https://www.cde.ca.gov/ci/cr/dy/</w:t>
        </w:r>
      </w:hyperlink>
      <w:r w:rsidRPr="006E7483">
        <w:rPr>
          <w:rFonts w:cs="Arial"/>
        </w:rPr>
        <w:t xml:space="preserve">. </w:t>
      </w:r>
    </w:p>
    <w:p w14:paraId="515E1793" w14:textId="0C4CDE4D" w:rsidR="00FF55B8" w:rsidRPr="006E7483" w:rsidRDefault="00FF55B8" w:rsidP="004D3DDA">
      <w:pPr>
        <w:pStyle w:val="ListParagraph"/>
        <w:numPr>
          <w:ilvl w:val="0"/>
          <w:numId w:val="52"/>
        </w:numPr>
        <w:ind w:left="1440"/>
        <w:rPr>
          <w:rFonts w:eastAsia="Times New Roman" w:cs="Arial"/>
          <w:bCs/>
          <w:color w:val="000000"/>
          <w:szCs w:val="24"/>
        </w:rPr>
      </w:pPr>
      <w:r w:rsidRPr="006E7483">
        <w:rPr>
          <w:rFonts w:cs="Arial"/>
          <w:i/>
          <w:iCs/>
          <w:szCs w:val="24"/>
        </w:rPr>
        <w:t xml:space="preserve">Improving Education for Multilingual and English Learner </w:t>
      </w:r>
      <w:r w:rsidR="006E7483">
        <w:rPr>
          <w:rFonts w:cs="Arial"/>
          <w:i/>
          <w:iCs/>
          <w:szCs w:val="24"/>
        </w:rPr>
        <w:t xml:space="preserve">(EL) </w:t>
      </w:r>
      <w:r w:rsidRPr="006E7483">
        <w:rPr>
          <w:rFonts w:cs="Arial"/>
          <w:i/>
          <w:iCs/>
          <w:szCs w:val="24"/>
        </w:rPr>
        <w:t>Students</w:t>
      </w:r>
      <w:r w:rsidRPr="006E7483">
        <w:rPr>
          <w:rFonts w:cs="Arial"/>
          <w:szCs w:val="24"/>
        </w:rPr>
        <w:t xml:space="preserve">, available on the CDE </w:t>
      </w:r>
      <w:r w:rsidR="0001208C">
        <w:rPr>
          <w:rFonts w:cs="Arial"/>
          <w:szCs w:val="24"/>
        </w:rPr>
        <w:t>Improving Education: Research to Practice web page</w:t>
      </w:r>
      <w:r w:rsidRPr="006E7483">
        <w:rPr>
          <w:rFonts w:cs="Arial"/>
          <w:szCs w:val="24"/>
        </w:rPr>
        <w:t xml:space="preserve"> at</w:t>
      </w:r>
      <w:r w:rsidR="006209CB" w:rsidRPr="006E7483">
        <w:rPr>
          <w:rFonts w:cs="Arial"/>
          <w:szCs w:val="24"/>
        </w:rPr>
        <w:t xml:space="preserve"> </w:t>
      </w:r>
      <w:hyperlink r:id="rId26" w:tooltip="Improving Education for Multilingual and English Learner Students" w:history="1">
        <w:r w:rsidR="006209CB" w:rsidRPr="006E7483">
          <w:rPr>
            <w:rStyle w:val="Hyperlink"/>
            <w:rFonts w:cs="Arial"/>
            <w:szCs w:val="24"/>
          </w:rPr>
          <w:t>https://www.cde.ca.gov/sp/el/er/improvingmleleducation.asp</w:t>
        </w:r>
      </w:hyperlink>
      <w:r w:rsidR="006209CB" w:rsidRPr="006E7483">
        <w:rPr>
          <w:rFonts w:cs="Arial"/>
          <w:szCs w:val="24"/>
        </w:rPr>
        <w:t xml:space="preserve">. </w:t>
      </w:r>
      <w:r w:rsidRPr="006E7483">
        <w:rPr>
          <w:rFonts w:cs="Arial"/>
          <w:szCs w:val="24"/>
        </w:rPr>
        <w:t xml:space="preserve"> </w:t>
      </w:r>
    </w:p>
    <w:p w14:paraId="21BB3CFE" w14:textId="6A963590" w:rsidR="00FF55B8" w:rsidRPr="006E7483" w:rsidRDefault="006209CB" w:rsidP="004D3DDA">
      <w:pPr>
        <w:widowControl w:val="0"/>
        <w:numPr>
          <w:ilvl w:val="0"/>
          <w:numId w:val="25"/>
        </w:numPr>
        <w:autoSpaceDE w:val="0"/>
        <w:autoSpaceDN w:val="0"/>
        <w:adjustRightInd w:val="0"/>
        <w:ind w:left="1440"/>
        <w:rPr>
          <w:rFonts w:cs="Arial"/>
          <w:color w:val="000000"/>
          <w:szCs w:val="24"/>
        </w:rPr>
      </w:pPr>
      <w:r w:rsidRPr="006E7483">
        <w:rPr>
          <w:rFonts w:cs="Arial"/>
        </w:rPr>
        <w:t xml:space="preserve">The </w:t>
      </w:r>
      <w:r w:rsidR="00FF55B8" w:rsidRPr="006E7483">
        <w:rPr>
          <w:rFonts w:cs="Arial"/>
        </w:rPr>
        <w:t>California Practitioners Guide for Educating ELs with Disabilities</w:t>
      </w:r>
      <w:r w:rsidR="00FF55B8" w:rsidRPr="006E7483">
        <w:rPr>
          <w:rFonts w:cs="Arial"/>
          <w:color w:val="000000"/>
          <w:szCs w:val="24"/>
        </w:rPr>
        <w:t xml:space="preserve">, available on the CDE website at </w:t>
      </w:r>
      <w:hyperlink r:id="rId27" w:tooltip="California Practitioners Guide for Educating ELs with Disabilities" w:history="1">
        <w:r w:rsidR="00FF55B8" w:rsidRPr="006E7483">
          <w:rPr>
            <w:rStyle w:val="Hyperlink"/>
            <w:rFonts w:cs="Arial"/>
            <w:szCs w:val="24"/>
          </w:rPr>
          <w:t>https://www.cde.ca.gov/sp/se/ac/documents/ab2785guide.pdf</w:t>
        </w:r>
      </w:hyperlink>
      <w:r w:rsidRPr="006E7483">
        <w:rPr>
          <w:rStyle w:val="Hyperlink"/>
          <w:rFonts w:cs="Arial"/>
          <w:szCs w:val="24"/>
          <w:u w:val="none"/>
        </w:rPr>
        <w:t>.</w:t>
      </w:r>
      <w:r w:rsidR="00FF55B8" w:rsidRPr="006E7483">
        <w:rPr>
          <w:rFonts w:cs="Arial"/>
          <w:color w:val="000000"/>
          <w:szCs w:val="24"/>
        </w:rPr>
        <w:t xml:space="preserve"> </w:t>
      </w:r>
    </w:p>
    <w:p w14:paraId="271FA6E7" w14:textId="77777777" w:rsidR="00B6068E" w:rsidRDefault="007A504D" w:rsidP="00B6068E">
      <w:pPr>
        <w:widowControl w:val="0"/>
        <w:autoSpaceDE w:val="0"/>
        <w:autoSpaceDN w:val="0"/>
        <w:adjustRightInd w:val="0"/>
        <w:spacing w:after="0"/>
        <w:ind w:left="720"/>
        <w:rPr>
          <w:rFonts w:cs="Arial"/>
          <w:color w:val="000000"/>
          <w:shd w:val="clear" w:color="auto" w:fill="FFFFFF"/>
        </w:rPr>
      </w:pPr>
      <w:r w:rsidRPr="006E7483">
        <w:rPr>
          <w:rFonts w:cs="Arial"/>
          <w:color w:val="000000"/>
          <w:shd w:val="clear" w:color="auto" w:fill="FFFFFF"/>
        </w:rPr>
        <w:t>Additionally, t</w:t>
      </w:r>
      <w:r w:rsidR="003E2DB0" w:rsidRPr="006E7483">
        <w:rPr>
          <w:rFonts w:cs="Arial"/>
          <w:color w:val="000000"/>
          <w:shd w:val="clear" w:color="auto" w:fill="FFFFFF"/>
        </w:rPr>
        <w:t xml:space="preserve">he Scaling Up MTSS Statewide (SUMS) Initiative </w:t>
      </w:r>
      <w:r w:rsidRPr="006E7483">
        <w:rPr>
          <w:rFonts w:cs="Arial"/>
          <w:color w:val="000000"/>
          <w:shd w:val="clear" w:color="auto" w:fill="FFFFFF"/>
        </w:rPr>
        <w:t xml:space="preserve">focuses on: </w:t>
      </w:r>
      <w:r w:rsidR="0001208C">
        <w:rPr>
          <w:rFonts w:cs="Arial"/>
          <w:color w:val="000000"/>
          <w:shd w:val="clear" w:color="auto" w:fill="FFFFFF"/>
        </w:rPr>
        <w:t>(</w:t>
      </w:r>
      <w:r w:rsidRPr="006E7483">
        <w:rPr>
          <w:rFonts w:cs="Arial"/>
          <w:color w:val="000000"/>
          <w:shd w:val="clear" w:color="auto" w:fill="FFFFFF"/>
        </w:rPr>
        <w:t xml:space="preserve">1) developing resources for MTSS within an LEA that align the academic, behavioral, and social-emotional supports to serve the whole child; </w:t>
      </w:r>
      <w:r w:rsidR="0001208C">
        <w:rPr>
          <w:rFonts w:cs="Arial"/>
          <w:color w:val="000000"/>
          <w:shd w:val="clear" w:color="auto" w:fill="FFFFFF"/>
        </w:rPr>
        <w:t>(</w:t>
      </w:r>
      <w:r w:rsidRPr="006E7483">
        <w:rPr>
          <w:rFonts w:cs="Arial"/>
          <w:color w:val="000000"/>
          <w:shd w:val="clear" w:color="auto" w:fill="FFFFFF"/>
        </w:rPr>
        <w:t>2) improving school climate to encourage LEAs to establish and align schoolwide, data-driven systems of academic and behavioral supports to more effectively meet the needs of California’s diverse learners in the most inclusive environments</w:t>
      </w:r>
      <w:r w:rsidR="00A95E70" w:rsidRPr="006E7483">
        <w:rPr>
          <w:rFonts w:cs="Arial"/>
          <w:color w:val="000000"/>
          <w:shd w:val="clear" w:color="auto" w:fill="FFFFFF"/>
        </w:rPr>
        <w:t xml:space="preserve">; and </w:t>
      </w:r>
    </w:p>
    <w:p w14:paraId="0452C277" w14:textId="0F305A59" w:rsidR="003E2DB0" w:rsidRPr="006E7483" w:rsidRDefault="0001208C" w:rsidP="0001208C">
      <w:pPr>
        <w:widowControl w:val="0"/>
        <w:autoSpaceDE w:val="0"/>
        <w:autoSpaceDN w:val="0"/>
        <w:adjustRightInd w:val="0"/>
        <w:spacing w:after="480"/>
        <w:ind w:left="720"/>
        <w:rPr>
          <w:rFonts w:cs="Arial"/>
          <w:color w:val="000000"/>
          <w:szCs w:val="24"/>
        </w:rPr>
      </w:pPr>
      <w:r>
        <w:rPr>
          <w:rFonts w:cs="Arial"/>
          <w:color w:val="000000"/>
          <w:shd w:val="clear" w:color="auto" w:fill="FFFFFF"/>
        </w:rPr>
        <w:t>(</w:t>
      </w:r>
      <w:r w:rsidR="00A95E70" w:rsidRPr="006E7483">
        <w:rPr>
          <w:rFonts w:cs="Arial"/>
          <w:color w:val="000000"/>
          <w:shd w:val="clear" w:color="auto" w:fill="FFFFFF"/>
        </w:rPr>
        <w:t xml:space="preserve">3) </w:t>
      </w:r>
      <w:r w:rsidR="00A95E70" w:rsidRPr="006E7483">
        <w:rPr>
          <w:rFonts w:cs="Arial"/>
          <w:color w:val="000000"/>
          <w:szCs w:val="24"/>
          <w:shd w:val="clear" w:color="auto" w:fill="FFFFFF"/>
        </w:rPr>
        <w:t xml:space="preserve">supporting </w:t>
      </w:r>
      <w:r w:rsidR="00A95E70" w:rsidRPr="006E7483">
        <w:rPr>
          <w:rFonts w:cs="Arial"/>
          <w:szCs w:val="24"/>
        </w:rPr>
        <w:t xml:space="preserve">schoolwide and districtwide implementation of services or practices aligned to the MTSS </w:t>
      </w:r>
      <w:r>
        <w:rPr>
          <w:rFonts w:cs="Arial"/>
          <w:szCs w:val="24"/>
        </w:rPr>
        <w:t>F</w:t>
      </w:r>
      <w:r w:rsidR="00A95E70" w:rsidRPr="006E7483">
        <w:rPr>
          <w:rFonts w:cs="Arial"/>
          <w:szCs w:val="24"/>
        </w:rPr>
        <w:t>ramework.</w:t>
      </w:r>
      <w:r w:rsidR="00A95E70" w:rsidRPr="006E7483">
        <w:rPr>
          <w:rFonts w:cs="Arial"/>
          <w:sz w:val="22"/>
        </w:rPr>
        <w:t xml:space="preserve"> </w:t>
      </w:r>
      <w:r w:rsidR="007A504D" w:rsidRPr="006E7483">
        <w:rPr>
          <w:rFonts w:cs="Arial"/>
          <w:color w:val="000000"/>
          <w:shd w:val="clear" w:color="auto" w:fill="FFFFFF"/>
        </w:rPr>
        <w:t>These goals</w:t>
      </w:r>
      <w:r w:rsidR="003E2DB0" w:rsidRPr="006E7483">
        <w:rPr>
          <w:rFonts w:cs="Arial"/>
          <w:color w:val="000000"/>
          <w:shd w:val="clear" w:color="auto" w:fill="FFFFFF"/>
        </w:rPr>
        <w:t xml:space="preserve"> involve family and community engagement, administrative leadership, integrated education frameworks, and inclusive policy and practice.</w:t>
      </w:r>
      <w:r w:rsidR="003E2DB0" w:rsidRPr="006E7483" w:rsidDel="00A83F66">
        <w:rPr>
          <w:rFonts w:eastAsia="Times New Roman" w:cs="Arial"/>
          <w:bCs/>
          <w:color w:val="000000"/>
          <w:szCs w:val="24"/>
        </w:rPr>
        <w:t xml:space="preserve"> </w:t>
      </w:r>
      <w:r w:rsidR="00A95E70" w:rsidRPr="006E7483">
        <w:rPr>
          <w:rFonts w:eastAsia="Times New Roman" w:cs="Arial"/>
          <w:bCs/>
          <w:color w:val="000000"/>
          <w:szCs w:val="24"/>
        </w:rPr>
        <w:t xml:space="preserve">Additional information </w:t>
      </w:r>
      <w:r w:rsidR="00A95E70" w:rsidRPr="006E7483">
        <w:rPr>
          <w:rFonts w:cs="Arial"/>
          <w:color w:val="000000"/>
          <w:szCs w:val="24"/>
        </w:rPr>
        <w:t xml:space="preserve">is available </w:t>
      </w:r>
      <w:r w:rsidR="00A95E70" w:rsidRPr="006E7483">
        <w:rPr>
          <w:rFonts w:cs="Arial"/>
          <w:color w:val="000000"/>
          <w:szCs w:val="24"/>
        </w:rPr>
        <w:lastRenderedPageBreak/>
        <w:t xml:space="preserve">on the CDE </w:t>
      </w:r>
      <w:r>
        <w:rPr>
          <w:rFonts w:cs="Arial"/>
          <w:color w:val="000000"/>
          <w:szCs w:val="24"/>
        </w:rPr>
        <w:t>MTSS web page</w:t>
      </w:r>
      <w:r w:rsidR="00A95E70" w:rsidRPr="006E7483">
        <w:rPr>
          <w:rFonts w:cs="Arial"/>
          <w:color w:val="000000"/>
          <w:szCs w:val="24"/>
        </w:rPr>
        <w:t xml:space="preserve"> at</w:t>
      </w:r>
      <w:r w:rsidR="00A95E70" w:rsidRPr="0001208C">
        <w:rPr>
          <w:rFonts w:cs="Arial"/>
          <w:color w:val="000000"/>
          <w:szCs w:val="24"/>
        </w:rPr>
        <w:t xml:space="preserve"> </w:t>
      </w:r>
      <w:hyperlink r:id="rId28" w:tooltip="Multi-Tiered System of Supports" w:history="1">
        <w:r w:rsidR="00A95E70" w:rsidRPr="0001208C">
          <w:rPr>
            <w:rStyle w:val="Hyperlink"/>
            <w:rFonts w:cs="Arial"/>
            <w:szCs w:val="24"/>
          </w:rPr>
          <w:t>https://www.cde.ca.gov/ci/cr/ri/</w:t>
        </w:r>
      </w:hyperlink>
      <w:r w:rsidR="00A95E70" w:rsidRPr="006E7483">
        <w:rPr>
          <w:rFonts w:cs="Arial"/>
          <w:color w:val="000000"/>
          <w:szCs w:val="24"/>
        </w:rPr>
        <w:t xml:space="preserve">. </w:t>
      </w:r>
    </w:p>
    <w:p w14:paraId="75FAFAD6" w14:textId="77777777" w:rsidR="00175148" w:rsidRPr="00F26EB3" w:rsidRDefault="00536916" w:rsidP="003E7A3D">
      <w:pPr>
        <w:pStyle w:val="Heading4"/>
        <w:rPr>
          <w:rFonts w:eastAsia="Times New Roman"/>
          <w:bCs/>
        </w:rPr>
      </w:pPr>
      <w:r w:rsidRPr="00F26EB3">
        <w:rPr>
          <w:rFonts w:eastAsia="Times New Roman"/>
        </w:rPr>
        <w:t>Family Engagement</w:t>
      </w:r>
    </w:p>
    <w:p w14:paraId="3875D901" w14:textId="63F611BA" w:rsidR="00175148" w:rsidRPr="00F26EB3" w:rsidRDefault="00FE583F" w:rsidP="0076752A">
      <w:pPr>
        <w:spacing w:after="480"/>
        <w:ind w:left="720"/>
        <w:textAlignment w:val="baseline"/>
        <w:rPr>
          <w:rFonts w:eastAsia="Times New Roman" w:cs="Arial"/>
          <w:color w:val="000000"/>
          <w:szCs w:val="24"/>
        </w:rPr>
      </w:pPr>
      <w:r>
        <w:rPr>
          <w:rFonts w:eastAsia="Times New Roman" w:cs="Arial"/>
          <w:color w:val="000000"/>
          <w:szCs w:val="24"/>
        </w:rPr>
        <w:t>Families are</w:t>
      </w:r>
      <w:r w:rsidR="00175148" w:rsidRPr="00F26EB3">
        <w:rPr>
          <w:rFonts w:eastAsia="Times New Roman" w:cs="Arial"/>
          <w:color w:val="000000"/>
          <w:szCs w:val="24"/>
        </w:rPr>
        <w:t xml:space="preserve"> integral </w:t>
      </w:r>
      <w:r>
        <w:rPr>
          <w:rFonts w:eastAsia="Times New Roman" w:cs="Arial"/>
          <w:color w:val="000000"/>
          <w:szCs w:val="24"/>
        </w:rPr>
        <w:t>to student literacy</w:t>
      </w:r>
      <w:r w:rsidR="00175148" w:rsidRPr="00F26EB3">
        <w:rPr>
          <w:rFonts w:eastAsia="Times New Roman" w:cs="Arial"/>
          <w:color w:val="000000"/>
          <w:szCs w:val="24"/>
        </w:rPr>
        <w:t xml:space="preserve"> development</w:t>
      </w:r>
      <w:r>
        <w:rPr>
          <w:rFonts w:eastAsia="Times New Roman" w:cs="Arial"/>
          <w:color w:val="000000"/>
          <w:szCs w:val="24"/>
        </w:rPr>
        <w:t xml:space="preserve"> and achievement</w:t>
      </w:r>
      <w:r w:rsidR="00175148" w:rsidRPr="00F26EB3">
        <w:rPr>
          <w:rFonts w:eastAsia="Times New Roman" w:cs="Arial"/>
          <w:color w:val="000000"/>
          <w:szCs w:val="24"/>
        </w:rPr>
        <w:t>.</w:t>
      </w:r>
      <w:r w:rsidR="00F5211C">
        <w:rPr>
          <w:rFonts w:eastAsia="Times New Roman" w:cs="Arial"/>
          <w:color w:val="000000"/>
          <w:szCs w:val="24"/>
        </w:rPr>
        <w:t xml:space="preserve"> </w:t>
      </w:r>
      <w:r w:rsidR="00175148" w:rsidRPr="00F26EB3">
        <w:rPr>
          <w:rFonts w:eastAsia="Times New Roman" w:cs="Arial"/>
          <w:color w:val="000000"/>
          <w:szCs w:val="24"/>
        </w:rPr>
        <w:t xml:space="preserve">The </w:t>
      </w:r>
      <w:r w:rsidR="0040205C">
        <w:rPr>
          <w:rFonts w:eastAsia="Times New Roman" w:cs="Arial"/>
          <w:color w:val="000000"/>
          <w:szCs w:val="24"/>
        </w:rPr>
        <w:t>California</w:t>
      </w:r>
      <w:r w:rsidR="0040205C" w:rsidRPr="00F26EB3">
        <w:rPr>
          <w:rFonts w:eastAsia="Times New Roman" w:cs="Arial"/>
          <w:color w:val="000000"/>
          <w:szCs w:val="24"/>
        </w:rPr>
        <w:t xml:space="preserve"> </w:t>
      </w:r>
      <w:r w:rsidR="00175148" w:rsidRPr="00F26EB3">
        <w:rPr>
          <w:rFonts w:eastAsia="Times New Roman" w:cs="Arial"/>
          <w:color w:val="000000"/>
          <w:szCs w:val="24"/>
        </w:rPr>
        <w:t xml:space="preserve">Family Engagement Framework and </w:t>
      </w:r>
      <w:r w:rsidR="0040205C">
        <w:rPr>
          <w:rFonts w:eastAsia="Times New Roman" w:cs="Arial"/>
          <w:color w:val="000000"/>
          <w:szCs w:val="24"/>
        </w:rPr>
        <w:t>accompanying t</w:t>
      </w:r>
      <w:r w:rsidR="0040205C" w:rsidRPr="00F26EB3">
        <w:rPr>
          <w:rFonts w:eastAsia="Times New Roman" w:cs="Arial"/>
          <w:color w:val="000000"/>
          <w:szCs w:val="24"/>
        </w:rPr>
        <w:t xml:space="preserve">oolkit </w:t>
      </w:r>
      <w:r w:rsidR="00175148" w:rsidRPr="00F26EB3">
        <w:rPr>
          <w:rFonts w:eastAsia="Times New Roman" w:cs="Arial"/>
          <w:color w:val="000000"/>
          <w:szCs w:val="24"/>
        </w:rPr>
        <w:t xml:space="preserve">provide </w:t>
      </w:r>
      <w:r>
        <w:rPr>
          <w:rFonts w:eastAsia="Times New Roman" w:cs="Arial"/>
          <w:color w:val="000000"/>
          <w:szCs w:val="24"/>
        </w:rPr>
        <w:t xml:space="preserve">direction for </w:t>
      </w:r>
      <w:r w:rsidR="00F31AAC">
        <w:rPr>
          <w:rFonts w:eastAsia="Times New Roman" w:cs="Arial"/>
          <w:color w:val="000000"/>
          <w:szCs w:val="24"/>
        </w:rPr>
        <w:t>the grantee</w:t>
      </w:r>
      <w:r>
        <w:rPr>
          <w:rFonts w:eastAsia="Times New Roman" w:cs="Arial"/>
          <w:color w:val="000000"/>
          <w:szCs w:val="24"/>
        </w:rPr>
        <w:t xml:space="preserve"> in working with families and communities to plan, implement, and evaluate family engagement practices.</w:t>
      </w:r>
      <w:r w:rsidR="00FF55B8">
        <w:rPr>
          <w:rFonts w:eastAsia="Times New Roman" w:cs="Arial"/>
          <w:color w:val="000000"/>
          <w:szCs w:val="24"/>
        </w:rPr>
        <w:t xml:space="preserve"> The </w:t>
      </w:r>
      <w:r w:rsidR="0040205C">
        <w:rPr>
          <w:rFonts w:eastAsia="Times New Roman" w:cs="Arial"/>
          <w:color w:val="000000"/>
          <w:szCs w:val="24"/>
        </w:rPr>
        <w:t>f</w:t>
      </w:r>
      <w:r w:rsidR="00FF55B8">
        <w:rPr>
          <w:rFonts w:eastAsia="Times New Roman" w:cs="Arial"/>
          <w:color w:val="000000"/>
          <w:szCs w:val="24"/>
        </w:rPr>
        <w:t xml:space="preserve">ramework </w:t>
      </w:r>
      <w:r w:rsidR="00D2521C">
        <w:rPr>
          <w:rFonts w:eastAsia="Times New Roman" w:cs="Arial"/>
          <w:color w:val="000000"/>
          <w:szCs w:val="24"/>
        </w:rPr>
        <w:t xml:space="preserve">and </w:t>
      </w:r>
      <w:r w:rsidR="0040205C">
        <w:rPr>
          <w:rFonts w:eastAsia="Times New Roman" w:cs="Arial"/>
          <w:color w:val="000000"/>
          <w:szCs w:val="24"/>
        </w:rPr>
        <w:t xml:space="preserve">toolkit </w:t>
      </w:r>
      <w:r w:rsidR="00D2521C">
        <w:rPr>
          <w:rFonts w:eastAsia="Times New Roman" w:cs="Arial"/>
          <w:color w:val="000000"/>
          <w:szCs w:val="24"/>
        </w:rPr>
        <w:t xml:space="preserve">are available on the CDE </w:t>
      </w:r>
      <w:r w:rsidR="0076752A">
        <w:rPr>
          <w:rFonts w:eastAsia="Times New Roman" w:cs="Arial"/>
          <w:color w:val="000000"/>
          <w:szCs w:val="24"/>
        </w:rPr>
        <w:t>Family/Parent web page</w:t>
      </w:r>
      <w:r w:rsidR="00D2521C">
        <w:rPr>
          <w:rFonts w:eastAsia="Times New Roman" w:cs="Arial"/>
          <w:color w:val="000000"/>
          <w:szCs w:val="24"/>
        </w:rPr>
        <w:t xml:space="preserve"> at </w:t>
      </w:r>
      <w:hyperlink r:id="rId29" w:tooltip="CDE Parent/Family Webpage" w:history="1">
        <w:r w:rsidR="00D2521C">
          <w:rPr>
            <w:rStyle w:val="Hyperlink"/>
          </w:rPr>
          <w:t>https://www.cde.ca.gov/ls/pf/pf/</w:t>
        </w:r>
      </w:hyperlink>
      <w:r w:rsidR="00D2521C">
        <w:t>.</w:t>
      </w:r>
    </w:p>
    <w:p w14:paraId="1C12DF8C" w14:textId="77777777" w:rsidR="00536916" w:rsidRPr="00F31AAC" w:rsidRDefault="00F5211C" w:rsidP="003E7A3D">
      <w:pPr>
        <w:pStyle w:val="Heading4"/>
        <w:rPr>
          <w:rFonts w:eastAsia="Times New Roman"/>
        </w:rPr>
      </w:pPr>
      <w:r w:rsidRPr="00F31AAC">
        <w:rPr>
          <w:rFonts w:eastAsia="Times New Roman"/>
        </w:rPr>
        <w:t>Asset-Based/</w:t>
      </w:r>
      <w:r w:rsidR="00536916" w:rsidRPr="00F31AAC">
        <w:rPr>
          <w:rFonts w:eastAsia="Times New Roman"/>
        </w:rPr>
        <w:t>Culturally Sustaining Pedagog</w:t>
      </w:r>
      <w:r w:rsidR="0060189B" w:rsidRPr="00F31AAC">
        <w:rPr>
          <w:rFonts w:eastAsia="Times New Roman"/>
        </w:rPr>
        <w:t>y</w:t>
      </w:r>
    </w:p>
    <w:p w14:paraId="1B16ABB8" w14:textId="77777777" w:rsidR="00A44C98" w:rsidRDefault="00E57DAB" w:rsidP="004D3DDA">
      <w:pPr>
        <w:ind w:left="720"/>
        <w:textAlignment w:val="baseline"/>
        <w:rPr>
          <w:rFonts w:eastAsia="Times New Roman" w:cs="Arial"/>
          <w:color w:val="000000"/>
          <w:szCs w:val="24"/>
        </w:rPr>
      </w:pPr>
      <w:r w:rsidRPr="00E57DAB">
        <w:rPr>
          <w:rFonts w:eastAsia="Times New Roman" w:cs="Arial"/>
          <w:color w:val="000000"/>
          <w:szCs w:val="24"/>
        </w:rPr>
        <w:t>Culturally sustaining pedagogy</w:t>
      </w:r>
      <w:r w:rsidR="00F5211C">
        <w:rPr>
          <w:rFonts w:eastAsia="Times New Roman" w:cs="Arial"/>
          <w:color w:val="000000"/>
          <w:szCs w:val="24"/>
        </w:rPr>
        <w:t xml:space="preserve"> builds upon preceding asset-based pedagogies. It </w:t>
      </w:r>
      <w:r w:rsidRPr="00E57DAB">
        <w:rPr>
          <w:rFonts w:eastAsia="Times New Roman" w:cs="Arial"/>
          <w:color w:val="000000"/>
          <w:szCs w:val="24"/>
        </w:rPr>
        <w:t>encompasses the following features—</w:t>
      </w:r>
      <w:r w:rsidRPr="00E57DAB">
        <w:rPr>
          <w:rFonts w:cs="Arial"/>
          <w:color w:val="000000"/>
          <w:szCs w:val="24"/>
          <w:shd w:val="clear" w:color="auto" w:fill="FFFFFF"/>
        </w:rPr>
        <w:t>community languages, practices, and ways of being are valued; schools are accountable to the community; curriculum connects to cultural and linguistic histories; and cultural and linguistic practices are sustained, while providing access to the dominant culture</w:t>
      </w:r>
      <w:r w:rsidRPr="00E55186">
        <w:rPr>
          <w:rFonts w:cs="Arial"/>
          <w:i/>
          <w:color w:val="000000"/>
          <w:szCs w:val="24"/>
        </w:rPr>
        <w:t>.</w:t>
      </w:r>
      <w:r w:rsidRPr="00E55186">
        <w:rPr>
          <w:rStyle w:val="FootnoteReference"/>
          <w:rFonts w:cs="Arial"/>
          <w:i/>
          <w:color w:val="000000"/>
          <w:szCs w:val="24"/>
        </w:rPr>
        <w:footnoteReference w:id="3"/>
      </w:r>
      <w:r w:rsidRPr="00E57DAB">
        <w:rPr>
          <w:rFonts w:eastAsia="Times New Roman" w:cs="Arial"/>
          <w:color w:val="000000"/>
          <w:szCs w:val="24"/>
        </w:rPr>
        <w:t xml:space="preserve"> </w:t>
      </w:r>
      <w:r w:rsidR="005667F9" w:rsidRPr="00E57DAB">
        <w:rPr>
          <w:rFonts w:eastAsia="Times New Roman" w:cs="Arial"/>
          <w:color w:val="000000"/>
          <w:szCs w:val="24"/>
        </w:rPr>
        <w:t xml:space="preserve">The guidance documents, the CDE’s EL Roadmap and Improving Education for Multilingual </w:t>
      </w:r>
      <w:r w:rsidR="006C065B" w:rsidRPr="00E57DAB">
        <w:rPr>
          <w:rFonts w:eastAsia="Times New Roman" w:cs="Arial"/>
          <w:color w:val="000000"/>
          <w:szCs w:val="24"/>
        </w:rPr>
        <w:t>S</w:t>
      </w:r>
      <w:r w:rsidR="005667F9" w:rsidRPr="00E57DAB">
        <w:rPr>
          <w:rFonts w:eastAsia="Times New Roman" w:cs="Arial"/>
          <w:color w:val="000000"/>
          <w:szCs w:val="24"/>
        </w:rPr>
        <w:t>tudents</w:t>
      </w:r>
      <w:r w:rsidR="0040205C">
        <w:rPr>
          <w:rFonts w:eastAsia="Times New Roman" w:cs="Arial"/>
          <w:color w:val="000000"/>
          <w:szCs w:val="24"/>
        </w:rPr>
        <w:t>,</w:t>
      </w:r>
      <w:r w:rsidR="005667F9" w:rsidRPr="00E57DAB">
        <w:rPr>
          <w:rFonts w:eastAsia="Times New Roman" w:cs="Arial"/>
          <w:color w:val="000000"/>
          <w:szCs w:val="24"/>
        </w:rPr>
        <w:t xml:space="preserve"> provide insight on supporting </w:t>
      </w:r>
      <w:r w:rsidR="006C065B" w:rsidRPr="00E57DAB">
        <w:rPr>
          <w:rFonts w:eastAsia="Times New Roman" w:cs="Arial"/>
          <w:color w:val="000000"/>
          <w:szCs w:val="24"/>
        </w:rPr>
        <w:t>multilingual</w:t>
      </w:r>
      <w:r w:rsidR="005667F9" w:rsidRPr="00E57DAB">
        <w:rPr>
          <w:rFonts w:eastAsia="Times New Roman" w:cs="Arial"/>
          <w:color w:val="000000"/>
          <w:szCs w:val="24"/>
        </w:rPr>
        <w:t xml:space="preserve"> students in a culturally sustaining way. </w:t>
      </w:r>
      <w:r w:rsidR="00F5211C">
        <w:rPr>
          <w:rFonts w:eastAsia="Times New Roman" w:cs="Arial"/>
          <w:color w:val="000000"/>
          <w:szCs w:val="24"/>
        </w:rPr>
        <w:t>Culturally sustaining pedagogies require educators to be aware of classroom materials, structure, and culture to ensure a safe and relevant learning environment.</w:t>
      </w:r>
      <w:r w:rsidR="00D2521C">
        <w:rPr>
          <w:rFonts w:eastAsia="Times New Roman" w:cs="Arial"/>
          <w:color w:val="000000"/>
          <w:szCs w:val="24"/>
        </w:rPr>
        <w:t xml:space="preserve"> </w:t>
      </w:r>
      <w:r w:rsidR="0040205C">
        <w:rPr>
          <w:rFonts w:eastAsia="Times New Roman" w:cs="Arial"/>
          <w:color w:val="000000"/>
          <w:szCs w:val="24"/>
        </w:rPr>
        <w:t xml:space="preserve">Additional </w:t>
      </w:r>
      <w:r w:rsidR="00D2521C">
        <w:rPr>
          <w:rFonts w:eastAsia="Times New Roman" w:cs="Arial"/>
          <w:color w:val="000000"/>
          <w:szCs w:val="24"/>
        </w:rPr>
        <w:t>information is available on the CDE website</w:t>
      </w:r>
      <w:r w:rsidR="00A44C98">
        <w:rPr>
          <w:rFonts w:eastAsia="Times New Roman" w:cs="Arial"/>
          <w:color w:val="000000"/>
          <w:szCs w:val="24"/>
        </w:rPr>
        <w:t xml:space="preserve"> </w:t>
      </w:r>
      <w:r w:rsidR="0076752A">
        <w:rPr>
          <w:rFonts w:eastAsia="Times New Roman" w:cs="Arial"/>
          <w:color w:val="000000"/>
          <w:szCs w:val="24"/>
        </w:rPr>
        <w:t>on</w:t>
      </w:r>
      <w:r w:rsidR="00A44C98">
        <w:rPr>
          <w:rFonts w:eastAsia="Times New Roman" w:cs="Arial"/>
          <w:color w:val="000000"/>
          <w:szCs w:val="24"/>
        </w:rPr>
        <w:t xml:space="preserve"> the links below:</w:t>
      </w:r>
    </w:p>
    <w:p w14:paraId="4FC66B9D" w14:textId="1588E143" w:rsidR="00A44C98" w:rsidRPr="00A44C98" w:rsidRDefault="00A44C98" w:rsidP="004D3DDA">
      <w:pPr>
        <w:pStyle w:val="ListParagraph"/>
        <w:numPr>
          <w:ilvl w:val="0"/>
          <w:numId w:val="25"/>
        </w:numPr>
        <w:ind w:left="1440"/>
        <w:textAlignment w:val="baseline"/>
        <w:rPr>
          <w:rFonts w:eastAsia="Times New Roman" w:cs="Arial"/>
          <w:color w:val="000000"/>
          <w:szCs w:val="24"/>
        </w:rPr>
      </w:pPr>
      <w:r>
        <w:rPr>
          <w:rFonts w:eastAsia="Times New Roman" w:cs="Arial"/>
          <w:color w:val="000000"/>
          <w:szCs w:val="24"/>
        </w:rPr>
        <w:t xml:space="preserve">Asset Based Pedagogies: </w:t>
      </w:r>
      <w:hyperlink r:id="rId30" w:tooltip="Asset Based Pedagogies" w:history="1">
        <w:r w:rsidRPr="003066E7">
          <w:rPr>
            <w:rStyle w:val="Hyperlink"/>
          </w:rPr>
          <w:t>https://www.cde.ca.gov/pd/ee/assetbasedpedagogies.asp</w:t>
        </w:r>
      </w:hyperlink>
      <w:r w:rsidR="00D2521C">
        <w:t xml:space="preserve"> </w:t>
      </w:r>
    </w:p>
    <w:p w14:paraId="0A1B419A" w14:textId="50E14D4C" w:rsidR="002E3E3E" w:rsidRPr="00A44C98" w:rsidRDefault="00A44C98" w:rsidP="004D3DDA">
      <w:pPr>
        <w:pStyle w:val="ListParagraph"/>
        <w:numPr>
          <w:ilvl w:val="0"/>
          <w:numId w:val="25"/>
        </w:numPr>
        <w:ind w:left="1440"/>
        <w:textAlignment w:val="baseline"/>
        <w:rPr>
          <w:rFonts w:eastAsia="Times New Roman" w:cs="Arial"/>
          <w:color w:val="000000"/>
          <w:szCs w:val="24"/>
        </w:rPr>
      </w:pPr>
      <w:r>
        <w:t xml:space="preserve">Culturally Sustaining Pedagogies: </w:t>
      </w:r>
      <w:hyperlink r:id="rId31" w:tooltip="Culturally Sustaining Pedagogies" w:history="1">
        <w:r w:rsidRPr="003066E7">
          <w:rPr>
            <w:rStyle w:val="Hyperlink"/>
          </w:rPr>
          <w:t>https://www.cde.ca.gov/pd/ee/culturallysustainingped.asp</w:t>
        </w:r>
      </w:hyperlink>
    </w:p>
    <w:p w14:paraId="52B06312" w14:textId="58EBC4A9" w:rsidR="00A44C98" w:rsidRPr="00A44C98" w:rsidRDefault="00A44C98" w:rsidP="004D3DDA">
      <w:pPr>
        <w:pStyle w:val="ListParagraph"/>
        <w:numPr>
          <w:ilvl w:val="0"/>
          <w:numId w:val="25"/>
        </w:numPr>
        <w:ind w:left="1440"/>
        <w:textAlignment w:val="baseline"/>
        <w:rPr>
          <w:rFonts w:eastAsia="Times New Roman" w:cs="Arial"/>
          <w:color w:val="000000"/>
          <w:szCs w:val="24"/>
        </w:rPr>
      </w:pPr>
      <w:r>
        <w:t xml:space="preserve">EL Roadmap: </w:t>
      </w:r>
      <w:hyperlink r:id="rId32" w:tooltip="EL Roadmap" w:history="1">
        <w:r>
          <w:rPr>
            <w:rStyle w:val="Hyperlink"/>
          </w:rPr>
          <w:t>https://www.cde.ca.gov/sp/el/rm/</w:t>
        </w:r>
      </w:hyperlink>
    </w:p>
    <w:p w14:paraId="53D5973C" w14:textId="516DBA9A" w:rsidR="005667F9" w:rsidRPr="004D3DDA" w:rsidRDefault="00A44C98" w:rsidP="0076752A">
      <w:pPr>
        <w:pStyle w:val="ListParagraph"/>
        <w:numPr>
          <w:ilvl w:val="0"/>
          <w:numId w:val="25"/>
        </w:numPr>
        <w:spacing w:after="480"/>
        <w:ind w:left="1440"/>
        <w:textAlignment w:val="baseline"/>
        <w:rPr>
          <w:rFonts w:eastAsia="Times New Roman" w:cs="Arial"/>
          <w:color w:val="000000"/>
          <w:szCs w:val="24"/>
        </w:rPr>
      </w:pPr>
      <w:r>
        <w:rPr>
          <w:rFonts w:eastAsia="Times New Roman" w:cs="Arial"/>
          <w:color w:val="000000"/>
          <w:szCs w:val="24"/>
        </w:rPr>
        <w:t xml:space="preserve">Improving Education for Multilingual Students: </w:t>
      </w:r>
      <w:hyperlink r:id="rId33" w:tooltip="Improving Education for Multilingual Students: " w:history="1">
        <w:r>
          <w:rPr>
            <w:rStyle w:val="Hyperlink"/>
          </w:rPr>
          <w:t>https://www.cde.ca.gov/sp/el/er/improvingmleleducation.asp</w:t>
        </w:r>
      </w:hyperlink>
    </w:p>
    <w:p w14:paraId="4417AFA4" w14:textId="77777777" w:rsidR="00536916" w:rsidRPr="00E57DAB" w:rsidRDefault="00536916" w:rsidP="003E7A3D">
      <w:pPr>
        <w:pStyle w:val="Heading4"/>
        <w:rPr>
          <w:rFonts w:eastAsia="Times New Roman"/>
        </w:rPr>
      </w:pPr>
      <w:r w:rsidRPr="00E57DAB">
        <w:rPr>
          <w:rFonts w:eastAsia="Times New Roman"/>
        </w:rPr>
        <w:lastRenderedPageBreak/>
        <w:t>Whole Child</w:t>
      </w:r>
    </w:p>
    <w:p w14:paraId="5BB9EE0F" w14:textId="77777777" w:rsidR="0040205C" w:rsidRDefault="0040205C" w:rsidP="004D3DDA">
      <w:pPr>
        <w:ind w:left="720"/>
        <w:rPr>
          <w:rFonts w:cs="Arial"/>
          <w:color w:val="000000"/>
          <w:szCs w:val="24"/>
        </w:rPr>
      </w:pPr>
      <w:r>
        <w:rPr>
          <w:rFonts w:cs="Arial"/>
          <w:color w:val="000000"/>
          <w:szCs w:val="24"/>
        </w:rPr>
        <w:t>For over a</w:t>
      </w:r>
      <w:r w:rsidR="00536916" w:rsidRPr="00C238DB">
        <w:rPr>
          <w:rFonts w:cs="Arial"/>
          <w:color w:val="000000"/>
          <w:szCs w:val="24"/>
        </w:rPr>
        <w:t xml:space="preserve"> decade, educators in California have shifted their focus from one primarily on “academics only” to a whole child approach.</w:t>
      </w:r>
      <w:r w:rsidR="00536916" w:rsidRPr="00C238DB">
        <w:rPr>
          <w:rStyle w:val="FootnoteReference"/>
          <w:rFonts w:cs="Arial"/>
          <w:color w:val="000000"/>
          <w:szCs w:val="24"/>
        </w:rPr>
        <w:footnoteReference w:id="4"/>
      </w:r>
      <w:r w:rsidR="00536916" w:rsidRPr="00C238DB">
        <w:rPr>
          <w:rFonts w:cs="Arial"/>
          <w:color w:val="000000"/>
          <w:szCs w:val="24"/>
        </w:rPr>
        <w:t xml:space="preserve"> A</w:t>
      </w:r>
      <w:r w:rsidR="00536916" w:rsidRPr="00E57DAB">
        <w:rPr>
          <w:rFonts w:cs="Arial"/>
          <w:color w:val="000000"/>
          <w:szCs w:val="24"/>
        </w:rPr>
        <w:t xml:space="preserve"> growing body of research shows that school climate strongly influences students' motivation to learn and a positive school climate can improve academic achievement. When school members feel safe, valued, cared for, respected, and engaged, learning increases. Schools that provide students with support to meet these basic needs allow them to grow socially and emotionally and avoid problems ranging from emotional distress to drug use to violence—in addition to helping them achieve academically.</w:t>
      </w:r>
      <w:r w:rsidR="00536916" w:rsidRPr="00E57DAB">
        <w:rPr>
          <w:rStyle w:val="FootnoteReference"/>
          <w:rFonts w:cs="Arial"/>
          <w:color w:val="000000"/>
          <w:szCs w:val="24"/>
        </w:rPr>
        <w:t xml:space="preserve"> </w:t>
      </w:r>
      <w:r w:rsidR="00536916" w:rsidRPr="00E57DAB">
        <w:rPr>
          <w:rStyle w:val="FootnoteReference"/>
          <w:rFonts w:cs="Arial"/>
          <w:color w:val="000000"/>
          <w:szCs w:val="24"/>
        </w:rPr>
        <w:footnoteReference w:id="5"/>
      </w:r>
      <w:r w:rsidR="00536916" w:rsidRPr="00E57DAB">
        <w:rPr>
          <w:rFonts w:cs="Arial"/>
          <w:color w:val="000000"/>
          <w:szCs w:val="24"/>
        </w:rPr>
        <w:t xml:space="preserve"> </w:t>
      </w:r>
    </w:p>
    <w:p w14:paraId="06EE9A3B" w14:textId="5C49B857" w:rsidR="001943D1" w:rsidRDefault="00536916" w:rsidP="004D3DDA">
      <w:pPr>
        <w:ind w:left="720"/>
        <w:rPr>
          <w:rFonts w:cs="Arial"/>
          <w:color w:val="000000"/>
          <w:szCs w:val="24"/>
        </w:rPr>
      </w:pPr>
      <w:r w:rsidRPr="00E57DAB">
        <w:rPr>
          <w:rFonts w:cs="Arial"/>
          <w:color w:val="000000"/>
          <w:szCs w:val="24"/>
        </w:rPr>
        <w:t>As part of th</w:t>
      </w:r>
      <w:r w:rsidR="0040205C">
        <w:rPr>
          <w:rFonts w:cs="Arial"/>
          <w:color w:val="000000"/>
          <w:szCs w:val="24"/>
        </w:rPr>
        <w:t>is</w:t>
      </w:r>
      <w:r w:rsidRPr="00E57DAB">
        <w:rPr>
          <w:rFonts w:cs="Arial"/>
          <w:color w:val="000000"/>
          <w:szCs w:val="24"/>
        </w:rPr>
        <w:t xml:space="preserve"> shift, the CDE </w:t>
      </w:r>
      <w:r w:rsidR="0040205C">
        <w:rPr>
          <w:rFonts w:cs="Arial"/>
          <w:color w:val="000000"/>
          <w:szCs w:val="24"/>
        </w:rPr>
        <w:t>collaborated</w:t>
      </w:r>
      <w:r w:rsidR="0040205C" w:rsidRPr="00E57DAB">
        <w:rPr>
          <w:rFonts w:cs="Arial"/>
          <w:color w:val="000000"/>
          <w:szCs w:val="24"/>
        </w:rPr>
        <w:t xml:space="preserve"> </w:t>
      </w:r>
      <w:r w:rsidR="0040205C">
        <w:rPr>
          <w:rFonts w:cs="Arial"/>
          <w:color w:val="000000"/>
          <w:szCs w:val="24"/>
        </w:rPr>
        <w:t xml:space="preserve">with a Social and Emotional Learning (SEL) state team to develop </w:t>
      </w:r>
      <w:r w:rsidR="00C238DB" w:rsidRPr="00E57DAB">
        <w:rPr>
          <w:rFonts w:eastAsia="Calibri" w:cs="Arial"/>
          <w:szCs w:val="24"/>
        </w:rPr>
        <w:t>Transformative</w:t>
      </w:r>
      <w:r w:rsidR="00793F94">
        <w:rPr>
          <w:rFonts w:eastAsia="Calibri" w:cs="Arial"/>
          <w:szCs w:val="24"/>
        </w:rPr>
        <w:t>-</w:t>
      </w:r>
      <w:r w:rsidR="00C238DB" w:rsidRPr="00E57DAB">
        <w:rPr>
          <w:rFonts w:eastAsia="Calibri" w:cs="Arial"/>
          <w:szCs w:val="24"/>
        </w:rPr>
        <w:t>SEL Competencies and Conditions for Thriving</w:t>
      </w:r>
      <w:r w:rsidR="00C238DB" w:rsidRPr="00E57DAB">
        <w:rPr>
          <w:rFonts w:cs="Arial"/>
          <w:color w:val="000000"/>
          <w:szCs w:val="24"/>
        </w:rPr>
        <w:t xml:space="preserve"> </w:t>
      </w:r>
      <w:r w:rsidRPr="00E57DAB">
        <w:rPr>
          <w:rFonts w:cs="Arial"/>
          <w:color w:val="000000"/>
          <w:szCs w:val="24"/>
        </w:rPr>
        <w:t xml:space="preserve">resources to support the field with implementing a whole child approach through SEL; trauma-informed practices; and culturally relevant, affirming, and sustaining practices with a focus </w:t>
      </w:r>
      <w:r w:rsidRPr="001943D1">
        <w:rPr>
          <w:rFonts w:cs="Arial"/>
          <w:color w:val="000000"/>
          <w:szCs w:val="24"/>
        </w:rPr>
        <w:t>on equity</w:t>
      </w:r>
      <w:r w:rsidR="00C238DB" w:rsidRPr="001943D1">
        <w:rPr>
          <w:rFonts w:cs="Arial"/>
          <w:color w:val="000000"/>
          <w:szCs w:val="24"/>
        </w:rPr>
        <w:t>.</w:t>
      </w:r>
      <w:r w:rsidR="00A44C98">
        <w:rPr>
          <w:rFonts w:cs="Arial"/>
          <w:color w:val="000000"/>
          <w:szCs w:val="24"/>
        </w:rPr>
        <w:t xml:space="preserve"> </w:t>
      </w:r>
      <w:r w:rsidR="0040205C">
        <w:rPr>
          <w:rFonts w:cs="Arial"/>
          <w:color w:val="000000"/>
          <w:szCs w:val="24"/>
        </w:rPr>
        <w:t xml:space="preserve">Additional </w:t>
      </w:r>
      <w:r w:rsidR="00A44C98">
        <w:rPr>
          <w:rFonts w:cs="Arial"/>
          <w:color w:val="000000"/>
          <w:szCs w:val="24"/>
        </w:rPr>
        <w:t xml:space="preserve">information </w:t>
      </w:r>
      <w:r w:rsidR="0040205C">
        <w:rPr>
          <w:rFonts w:cs="Arial"/>
          <w:color w:val="000000"/>
          <w:szCs w:val="24"/>
        </w:rPr>
        <w:t>is available</w:t>
      </w:r>
      <w:r w:rsidR="00A44C98">
        <w:rPr>
          <w:rFonts w:cs="Arial"/>
          <w:color w:val="000000"/>
          <w:szCs w:val="24"/>
        </w:rPr>
        <w:t xml:space="preserve"> on the CDE </w:t>
      </w:r>
      <w:r w:rsidR="0076752A">
        <w:rPr>
          <w:rFonts w:cs="Arial"/>
          <w:color w:val="000000"/>
          <w:szCs w:val="24"/>
        </w:rPr>
        <w:t>SEL web page</w:t>
      </w:r>
      <w:r w:rsidR="00A44C98">
        <w:rPr>
          <w:rFonts w:cs="Arial"/>
          <w:color w:val="000000"/>
          <w:szCs w:val="24"/>
        </w:rPr>
        <w:t xml:space="preserve"> at </w:t>
      </w:r>
      <w:hyperlink r:id="rId34" w:tooltip="CDE SEL " w:history="1">
        <w:r w:rsidR="00A44C98">
          <w:rPr>
            <w:rStyle w:val="Hyperlink"/>
          </w:rPr>
          <w:t>https://www.cde.ca.gov/ci/se/</w:t>
        </w:r>
      </w:hyperlink>
      <w:r w:rsidR="00A44C98">
        <w:t>.</w:t>
      </w:r>
    </w:p>
    <w:p w14:paraId="0A9F88AD" w14:textId="7F56B93D" w:rsidR="006C065B" w:rsidRPr="001943D1" w:rsidRDefault="00B42489" w:rsidP="005D07E0">
      <w:pPr>
        <w:spacing w:after="480"/>
        <w:ind w:left="720"/>
        <w:textAlignment w:val="baseline"/>
        <w:rPr>
          <w:rFonts w:eastAsia="Times New Roman" w:cs="Arial"/>
          <w:color w:val="000000"/>
          <w:szCs w:val="24"/>
        </w:rPr>
      </w:pPr>
      <w:r>
        <w:rPr>
          <w:rFonts w:cs="Arial"/>
          <w:color w:val="000000"/>
          <w:szCs w:val="24"/>
        </w:rPr>
        <w:t xml:space="preserve">With attention to the whole child, </w:t>
      </w:r>
      <w:r w:rsidR="0040205C">
        <w:rPr>
          <w:rFonts w:cs="Arial"/>
          <w:color w:val="000000"/>
          <w:szCs w:val="24"/>
        </w:rPr>
        <w:t xml:space="preserve">a critical </w:t>
      </w:r>
      <w:r>
        <w:rPr>
          <w:rFonts w:cs="Arial"/>
          <w:color w:val="000000"/>
          <w:szCs w:val="24"/>
        </w:rPr>
        <w:t xml:space="preserve">aspect </w:t>
      </w:r>
      <w:r w:rsidR="0040205C">
        <w:rPr>
          <w:rFonts w:cs="Arial"/>
          <w:color w:val="000000"/>
          <w:szCs w:val="24"/>
        </w:rPr>
        <w:t>of</w:t>
      </w:r>
      <w:r>
        <w:rPr>
          <w:rFonts w:cs="Arial"/>
          <w:color w:val="000000"/>
          <w:szCs w:val="24"/>
        </w:rPr>
        <w:t xml:space="preserve"> </w:t>
      </w:r>
      <w:r w:rsidR="0040205C">
        <w:rPr>
          <w:rFonts w:cs="Arial"/>
          <w:color w:val="000000"/>
          <w:szCs w:val="24"/>
        </w:rPr>
        <w:t xml:space="preserve">student </w:t>
      </w:r>
      <w:r>
        <w:rPr>
          <w:rFonts w:cs="Arial"/>
          <w:color w:val="000000"/>
          <w:szCs w:val="24"/>
        </w:rPr>
        <w:t>literacy development is the fostering of executive functioning skills</w:t>
      </w:r>
      <w:r w:rsidR="00B6068E">
        <w:rPr>
          <w:rFonts w:cs="Arial"/>
          <w:color w:val="000000"/>
          <w:szCs w:val="24"/>
        </w:rPr>
        <w:t>, a</w:t>
      </w:r>
      <w:r w:rsidR="00352873">
        <w:rPr>
          <w:rFonts w:cs="Arial"/>
          <w:color w:val="000000"/>
          <w:szCs w:val="24"/>
        </w:rPr>
        <w:t>ccording to the National Center for Education Research’s paper, Executive Function: Implications for Education, executive functioning skills are required for reading and oral language comprehension, fluency, and phonemic awareness.</w:t>
      </w:r>
      <w:r w:rsidR="00352873" w:rsidRPr="007C552E">
        <w:rPr>
          <w:rFonts w:cs="Arial"/>
          <w:color w:val="000000"/>
          <w:szCs w:val="24"/>
        </w:rPr>
        <w:t xml:space="preserve"> </w:t>
      </w:r>
      <w:r w:rsidR="00E55186">
        <w:rPr>
          <w:rFonts w:cs="Arial"/>
          <w:color w:val="000000"/>
        </w:rPr>
        <w:t xml:space="preserve">Additional </w:t>
      </w:r>
      <w:r w:rsidR="00E55186" w:rsidRPr="007C552E">
        <w:rPr>
          <w:rFonts w:cs="Arial"/>
          <w:color w:val="000000"/>
        </w:rPr>
        <w:t>information</w:t>
      </w:r>
      <w:r w:rsidR="00352873" w:rsidRPr="007C552E">
        <w:rPr>
          <w:rFonts w:cs="Arial"/>
          <w:color w:val="000000"/>
        </w:rPr>
        <w:t xml:space="preserve"> about executive functioning skills is available on the National Center for Educational Research’s web</w:t>
      </w:r>
      <w:r w:rsidR="0076752A">
        <w:rPr>
          <w:rFonts w:cs="Arial"/>
          <w:color w:val="000000"/>
        </w:rPr>
        <w:t xml:space="preserve"> page</w:t>
      </w:r>
      <w:r w:rsidR="00352873" w:rsidRPr="007C552E">
        <w:rPr>
          <w:rFonts w:cs="Arial"/>
          <w:color w:val="000000"/>
        </w:rPr>
        <w:t xml:space="preserve"> at </w:t>
      </w:r>
      <w:hyperlink r:id="rId35" w:tooltip="Executive Function: Implications for Education" w:history="1">
        <w:r w:rsidR="00352873" w:rsidRPr="007C552E">
          <w:rPr>
            <w:rStyle w:val="Hyperlink"/>
          </w:rPr>
          <w:t>https://ies.ed.gov/ncer/pubs/20172000/</w:t>
        </w:r>
      </w:hyperlink>
      <w:r w:rsidR="00352873" w:rsidRPr="007C552E">
        <w:t>.</w:t>
      </w:r>
    </w:p>
    <w:p w14:paraId="254B1404" w14:textId="77777777" w:rsidR="006C065B" w:rsidRPr="001943D1" w:rsidRDefault="006C065B" w:rsidP="003E7A3D">
      <w:pPr>
        <w:pStyle w:val="Heading4"/>
        <w:rPr>
          <w:rFonts w:eastAsia="Times New Roman"/>
        </w:rPr>
      </w:pPr>
      <w:r w:rsidRPr="001943D1">
        <w:rPr>
          <w:rFonts w:eastAsia="Times New Roman"/>
        </w:rPr>
        <w:t>Well-Prepared and Supported Teachers and Leaders</w:t>
      </w:r>
    </w:p>
    <w:p w14:paraId="4C4B95A6" w14:textId="77777777" w:rsidR="006C065B" w:rsidRDefault="000534B2" w:rsidP="004D3DDA">
      <w:pPr>
        <w:ind w:left="720"/>
      </w:pPr>
      <w:r>
        <w:rPr>
          <w:rFonts w:eastAsia="Times New Roman" w:cs="Arial"/>
          <w:color w:val="000000"/>
          <w:szCs w:val="24"/>
        </w:rPr>
        <w:t>T</w:t>
      </w:r>
      <w:r w:rsidR="005667F9" w:rsidRPr="001943D1">
        <w:rPr>
          <w:rFonts w:eastAsia="Times New Roman" w:cs="Arial"/>
          <w:color w:val="000000"/>
          <w:szCs w:val="24"/>
        </w:rPr>
        <w:t>o ensure teachers and leaders are well-prepared</w:t>
      </w:r>
      <w:r>
        <w:rPr>
          <w:rFonts w:eastAsia="Times New Roman" w:cs="Arial"/>
          <w:color w:val="000000"/>
          <w:szCs w:val="24"/>
        </w:rPr>
        <w:t>,</w:t>
      </w:r>
      <w:r w:rsidR="005667F9" w:rsidRPr="001943D1">
        <w:rPr>
          <w:rFonts w:eastAsia="Times New Roman" w:cs="Arial"/>
          <w:color w:val="000000"/>
          <w:szCs w:val="24"/>
        </w:rPr>
        <w:t xml:space="preserve"> care should be taken to ensure that PL</w:t>
      </w:r>
      <w:r w:rsidR="004C0980">
        <w:rPr>
          <w:rFonts w:eastAsia="Times New Roman" w:cs="Arial"/>
          <w:color w:val="000000"/>
          <w:szCs w:val="24"/>
        </w:rPr>
        <w:t xml:space="preserve"> </w:t>
      </w:r>
      <w:r w:rsidR="00B42489">
        <w:rPr>
          <w:rFonts w:eastAsia="Times New Roman" w:cs="Arial"/>
          <w:color w:val="000000"/>
          <w:szCs w:val="24"/>
        </w:rPr>
        <w:t>opportunities</w:t>
      </w:r>
      <w:r w:rsidR="005667F9" w:rsidRPr="001943D1">
        <w:rPr>
          <w:rFonts w:eastAsia="Times New Roman" w:cs="Arial"/>
          <w:color w:val="000000"/>
          <w:szCs w:val="24"/>
        </w:rPr>
        <w:t xml:space="preserve"> are aligned to the </w:t>
      </w:r>
      <w:r w:rsidR="004C0980">
        <w:rPr>
          <w:rFonts w:eastAsia="Times New Roman" w:cs="Arial"/>
          <w:color w:val="000000"/>
          <w:szCs w:val="24"/>
        </w:rPr>
        <w:t xml:space="preserve">CDE’s </w:t>
      </w:r>
      <w:r w:rsidR="005667F9" w:rsidRPr="001943D1">
        <w:rPr>
          <w:rFonts w:eastAsia="Times New Roman" w:cs="Arial"/>
          <w:color w:val="000000"/>
          <w:szCs w:val="24"/>
        </w:rPr>
        <w:t>Quality Professional Learning Standards</w:t>
      </w:r>
      <w:r w:rsidR="004C0980">
        <w:rPr>
          <w:rFonts w:eastAsia="Times New Roman" w:cs="Arial"/>
          <w:color w:val="000000"/>
          <w:szCs w:val="24"/>
        </w:rPr>
        <w:t xml:space="preserve"> (QPLS)</w:t>
      </w:r>
      <w:r w:rsidR="005667F9" w:rsidRPr="001943D1">
        <w:rPr>
          <w:rFonts w:eastAsia="Times New Roman" w:cs="Arial"/>
          <w:color w:val="000000"/>
          <w:szCs w:val="24"/>
        </w:rPr>
        <w:t>.</w:t>
      </w:r>
      <w:r w:rsidR="001943D1" w:rsidRPr="001943D1">
        <w:rPr>
          <w:rFonts w:eastAsia="Times New Roman" w:cs="Arial"/>
          <w:color w:val="000000"/>
          <w:szCs w:val="24"/>
        </w:rPr>
        <w:t xml:space="preserve"> </w:t>
      </w:r>
      <w:r w:rsidR="001943D1" w:rsidRPr="001943D1">
        <w:rPr>
          <w:szCs w:val="24"/>
        </w:rPr>
        <w:t xml:space="preserve">The QPLS serve as a foundation for the content, processes, and conditions essential to all educator </w:t>
      </w:r>
      <w:r>
        <w:rPr>
          <w:szCs w:val="24"/>
        </w:rPr>
        <w:t>PL</w:t>
      </w:r>
      <w:r w:rsidR="001943D1" w:rsidRPr="001943D1">
        <w:rPr>
          <w:szCs w:val="24"/>
        </w:rPr>
        <w:t xml:space="preserve"> over time, which leads to improved educator knowledge, skills, and dispositions. Seven interdependent standards support </w:t>
      </w:r>
      <w:r>
        <w:rPr>
          <w:szCs w:val="24"/>
        </w:rPr>
        <w:t>PL</w:t>
      </w:r>
      <w:r w:rsidR="001943D1" w:rsidRPr="001943D1">
        <w:rPr>
          <w:szCs w:val="24"/>
        </w:rPr>
        <w:t xml:space="preserve"> that is rooted in student and educator needs demonstrated through data; focused on content and pedagogy; designed to ensure equitable outcomes; designed and structured to be ongoing, intensive, and embedded in </w:t>
      </w:r>
      <w:r w:rsidR="001943D1" w:rsidRPr="001943D1">
        <w:rPr>
          <w:szCs w:val="24"/>
        </w:rPr>
        <w:lastRenderedPageBreak/>
        <w:t xml:space="preserve">practice; collaborative with an emphasis on shared accountability; supported by adequate resources; and coherent and aligned with other standards, policies, and programs. </w:t>
      </w:r>
      <w:r>
        <w:rPr>
          <w:szCs w:val="24"/>
        </w:rPr>
        <w:t xml:space="preserve">Additional </w:t>
      </w:r>
      <w:r w:rsidR="00E61D2B">
        <w:rPr>
          <w:szCs w:val="24"/>
        </w:rPr>
        <w:t xml:space="preserve">information about the QPLS is available on the CDE </w:t>
      </w:r>
      <w:r w:rsidR="00367F94">
        <w:rPr>
          <w:szCs w:val="24"/>
        </w:rPr>
        <w:t>QPLS web page</w:t>
      </w:r>
      <w:r w:rsidR="00E61D2B">
        <w:rPr>
          <w:szCs w:val="24"/>
        </w:rPr>
        <w:t xml:space="preserve"> at </w:t>
      </w:r>
      <w:hyperlink r:id="rId36" w:tooltip="CDE Quality Professional Learning Standards web page" w:history="1">
        <w:r w:rsidR="00E61D2B" w:rsidRPr="00874D94">
          <w:rPr>
            <w:rStyle w:val="Hyperlink"/>
            <w:rFonts w:cs="Arial"/>
          </w:rPr>
          <w:t>https://www.cde.ca.gov/pd/ps/qpls.asp</w:t>
        </w:r>
      </w:hyperlink>
      <w:r w:rsidR="00E61D2B">
        <w:t>.</w:t>
      </w:r>
    </w:p>
    <w:p w14:paraId="0AB8E3FD" w14:textId="77777777" w:rsidR="00B42489" w:rsidRPr="00B42489" w:rsidRDefault="00B42489" w:rsidP="005D07E0">
      <w:pPr>
        <w:spacing w:after="480"/>
        <w:ind w:left="720"/>
        <w:textAlignment w:val="baseline"/>
        <w:rPr>
          <w:rFonts w:cs="Source Sans Pro"/>
          <w:color w:val="000000"/>
          <w:szCs w:val="24"/>
        </w:rPr>
      </w:pPr>
      <w:r>
        <w:rPr>
          <w:rFonts w:eastAsia="Times New Roman" w:cs="Arial"/>
          <w:color w:val="000000"/>
          <w:szCs w:val="24"/>
        </w:rPr>
        <w:t xml:space="preserve">The strands of reading, writing, speaking and listening, and language are imperative across all disciplines. </w:t>
      </w:r>
      <w:r w:rsidRPr="00B42489">
        <w:rPr>
          <w:rFonts w:eastAsia="Times New Roman" w:cs="Arial"/>
          <w:color w:val="000000"/>
          <w:szCs w:val="24"/>
        </w:rPr>
        <w:t xml:space="preserve">As such, </w:t>
      </w:r>
      <w:r w:rsidRPr="00B42489">
        <w:rPr>
          <w:rFonts w:cs="Source Sans Pro"/>
          <w:color w:val="000000"/>
          <w:szCs w:val="24"/>
        </w:rPr>
        <w:t xml:space="preserve">the </w:t>
      </w:r>
      <w:r w:rsidR="000534B2">
        <w:rPr>
          <w:rFonts w:cs="Source Sans Pro"/>
          <w:color w:val="000000"/>
          <w:szCs w:val="24"/>
        </w:rPr>
        <w:t xml:space="preserve">California </w:t>
      </w:r>
      <w:r w:rsidRPr="00B42489">
        <w:rPr>
          <w:rFonts w:cs="Source Sans Pro"/>
          <w:color w:val="000000"/>
          <w:szCs w:val="24"/>
        </w:rPr>
        <w:t>CCSS literacy standards set an interdisciplinary expectation that the development of each student’s literacy skills is a shared responsibility with teachers across the content areas, each supporting disciplinary literacy in their subject.</w:t>
      </w:r>
      <w:r w:rsidRPr="00B42489">
        <w:rPr>
          <w:rStyle w:val="FootnoteReference"/>
          <w:rFonts w:cs="Source Sans Pro"/>
          <w:color w:val="000000"/>
          <w:szCs w:val="24"/>
        </w:rPr>
        <w:footnoteReference w:id="6"/>
      </w:r>
      <w:r>
        <w:rPr>
          <w:rFonts w:cs="Source Sans Pro"/>
          <w:color w:val="000000"/>
          <w:szCs w:val="24"/>
        </w:rPr>
        <w:t xml:space="preserve"> </w:t>
      </w:r>
      <w:r w:rsidRPr="004C77BA">
        <w:rPr>
          <w:rFonts w:cs="Source Sans Pro"/>
          <w:color w:val="000000"/>
          <w:szCs w:val="24"/>
        </w:rPr>
        <w:t xml:space="preserve">PL funded through the RII grant </w:t>
      </w:r>
      <w:r w:rsidR="000534B2" w:rsidRPr="004C77BA">
        <w:rPr>
          <w:rFonts w:cs="Source Sans Pro"/>
          <w:color w:val="000000"/>
          <w:szCs w:val="24"/>
        </w:rPr>
        <w:t xml:space="preserve">must </w:t>
      </w:r>
      <w:r w:rsidRPr="004C77BA">
        <w:rPr>
          <w:rFonts w:cs="Source Sans Pro"/>
          <w:color w:val="000000"/>
          <w:szCs w:val="24"/>
        </w:rPr>
        <w:t xml:space="preserve">prepare all educators across </w:t>
      </w:r>
      <w:r w:rsidR="000534B2" w:rsidRPr="004C77BA">
        <w:rPr>
          <w:rFonts w:cs="Source Sans Pro"/>
          <w:color w:val="000000"/>
          <w:szCs w:val="24"/>
        </w:rPr>
        <w:t xml:space="preserve">all </w:t>
      </w:r>
      <w:r w:rsidRPr="004C77BA">
        <w:rPr>
          <w:rFonts w:cs="Source Sans Pro"/>
          <w:color w:val="000000"/>
          <w:szCs w:val="24"/>
        </w:rPr>
        <w:t>disciplines to support literacy.</w:t>
      </w:r>
    </w:p>
    <w:p w14:paraId="720F1CDA" w14:textId="77777777" w:rsidR="006C065B" w:rsidRPr="001943D1" w:rsidRDefault="00EF7884" w:rsidP="003E7A3D">
      <w:pPr>
        <w:pStyle w:val="Heading4"/>
        <w:rPr>
          <w:rFonts w:eastAsia="Times New Roman"/>
        </w:rPr>
      </w:pPr>
      <w:r w:rsidRPr="001943D1">
        <w:rPr>
          <w:rFonts w:eastAsia="Times New Roman"/>
        </w:rPr>
        <w:t>Data-Informed Interventions</w:t>
      </w:r>
    </w:p>
    <w:p w14:paraId="48D2BD06" w14:textId="77777777" w:rsidR="00EF7884" w:rsidRPr="005355C2" w:rsidRDefault="006C065B" w:rsidP="00E661FB">
      <w:pPr>
        <w:spacing w:after="480"/>
        <w:ind w:left="720"/>
        <w:textAlignment w:val="baseline"/>
        <w:rPr>
          <w:rFonts w:eastAsia="Times New Roman" w:cs="Arial"/>
          <w:color w:val="000000"/>
          <w:szCs w:val="24"/>
        </w:rPr>
      </w:pPr>
      <w:r w:rsidRPr="001943D1">
        <w:rPr>
          <w:rFonts w:eastAsia="Times New Roman" w:cs="Arial"/>
          <w:color w:val="000000"/>
          <w:szCs w:val="24"/>
        </w:rPr>
        <w:t xml:space="preserve">In </w:t>
      </w:r>
      <w:r w:rsidR="00B42489">
        <w:rPr>
          <w:rFonts w:eastAsia="Times New Roman" w:cs="Arial"/>
          <w:color w:val="000000"/>
          <w:szCs w:val="24"/>
        </w:rPr>
        <w:t xml:space="preserve">order to ensure all students are learning, </w:t>
      </w:r>
      <w:r w:rsidRPr="001943D1">
        <w:rPr>
          <w:rFonts w:eastAsia="Times New Roman" w:cs="Arial"/>
          <w:color w:val="000000"/>
          <w:szCs w:val="24"/>
        </w:rPr>
        <w:t xml:space="preserve">teachers must be prepared to collect and respond to </w:t>
      </w:r>
      <w:r w:rsidRPr="00627263">
        <w:rPr>
          <w:rFonts w:eastAsia="Times New Roman" w:cs="Arial"/>
          <w:color w:val="000000"/>
          <w:szCs w:val="24"/>
        </w:rPr>
        <w:t xml:space="preserve">data. </w:t>
      </w:r>
      <w:r w:rsidR="00B42489" w:rsidRPr="004C77BA">
        <w:rPr>
          <w:rFonts w:eastAsia="Times New Roman" w:cs="Arial"/>
          <w:color w:val="000000"/>
          <w:szCs w:val="24"/>
        </w:rPr>
        <w:t>PL through the RII grant</w:t>
      </w:r>
      <w:r w:rsidRPr="004C77BA">
        <w:rPr>
          <w:rFonts w:eastAsia="Times New Roman" w:cs="Arial"/>
          <w:color w:val="000000"/>
          <w:szCs w:val="24"/>
        </w:rPr>
        <w:t xml:space="preserve"> </w:t>
      </w:r>
      <w:r w:rsidR="000534B2" w:rsidRPr="004C77BA">
        <w:rPr>
          <w:rFonts w:eastAsia="Times New Roman" w:cs="Arial"/>
          <w:color w:val="000000"/>
          <w:szCs w:val="24"/>
        </w:rPr>
        <w:t xml:space="preserve">must </w:t>
      </w:r>
      <w:r w:rsidRPr="004C77BA">
        <w:rPr>
          <w:rFonts w:eastAsia="Times New Roman" w:cs="Arial"/>
          <w:color w:val="000000"/>
          <w:szCs w:val="24"/>
        </w:rPr>
        <w:t>prepare teachers to effectively collect, analyze</w:t>
      </w:r>
      <w:r w:rsidR="00B42489" w:rsidRPr="004C77BA">
        <w:rPr>
          <w:rFonts w:eastAsia="Times New Roman" w:cs="Arial"/>
          <w:color w:val="000000"/>
          <w:szCs w:val="24"/>
        </w:rPr>
        <w:t>,</w:t>
      </w:r>
      <w:r w:rsidRPr="004C77BA">
        <w:rPr>
          <w:rFonts w:eastAsia="Times New Roman" w:cs="Arial"/>
          <w:color w:val="000000"/>
          <w:szCs w:val="24"/>
        </w:rPr>
        <w:t xml:space="preserve"> and respond to data.</w:t>
      </w:r>
      <w:r w:rsidRPr="00627263">
        <w:rPr>
          <w:rFonts w:eastAsia="Times New Roman" w:cs="Arial"/>
          <w:color w:val="000000"/>
          <w:szCs w:val="24"/>
        </w:rPr>
        <w:t xml:space="preserve"> </w:t>
      </w:r>
      <w:r w:rsidR="00627263" w:rsidRPr="00627263">
        <w:rPr>
          <w:rFonts w:eastAsia="Times New Roman" w:cs="Arial"/>
          <w:color w:val="000000"/>
          <w:szCs w:val="24"/>
        </w:rPr>
        <w:t>LEAs should be prepared to implement a full range of assessment cycles</w:t>
      </w:r>
      <w:r w:rsidR="00436149">
        <w:rPr>
          <w:rFonts w:eastAsia="Times New Roman" w:cs="Arial"/>
          <w:color w:val="000000"/>
          <w:szCs w:val="24"/>
        </w:rPr>
        <w:t>, including</w:t>
      </w:r>
      <w:r w:rsidR="00646C4B">
        <w:rPr>
          <w:rFonts w:eastAsia="Times New Roman" w:cs="Arial"/>
          <w:color w:val="000000"/>
          <w:szCs w:val="24"/>
        </w:rPr>
        <w:t xml:space="preserve"> the use of</w:t>
      </w:r>
      <w:r w:rsidR="00436149">
        <w:rPr>
          <w:rFonts w:eastAsia="Times New Roman" w:cs="Arial"/>
          <w:color w:val="000000"/>
          <w:szCs w:val="24"/>
        </w:rPr>
        <w:t xml:space="preserve"> formative assessment</w:t>
      </w:r>
      <w:r w:rsidR="00452BCA">
        <w:rPr>
          <w:rFonts w:eastAsia="Times New Roman" w:cs="Arial"/>
          <w:color w:val="000000"/>
          <w:szCs w:val="24"/>
        </w:rPr>
        <w:t xml:space="preserve"> practices</w:t>
      </w:r>
      <w:r w:rsidR="00627263" w:rsidRPr="00627263">
        <w:rPr>
          <w:rFonts w:eastAsia="Times New Roman" w:cs="Arial"/>
          <w:color w:val="000000"/>
          <w:szCs w:val="24"/>
        </w:rPr>
        <w:t xml:space="preserve">. </w:t>
      </w:r>
      <w:r w:rsidRPr="00627263">
        <w:rPr>
          <w:rFonts w:eastAsia="Times New Roman" w:cs="Arial"/>
          <w:color w:val="000000"/>
          <w:szCs w:val="24"/>
        </w:rPr>
        <w:t>In respon</w:t>
      </w:r>
      <w:r w:rsidR="00646C4B">
        <w:rPr>
          <w:rFonts w:eastAsia="Times New Roman" w:cs="Arial"/>
          <w:color w:val="000000"/>
          <w:szCs w:val="24"/>
        </w:rPr>
        <w:t>se to the</w:t>
      </w:r>
      <w:r w:rsidRPr="00627263">
        <w:rPr>
          <w:rFonts w:eastAsia="Times New Roman" w:cs="Arial"/>
          <w:color w:val="000000"/>
          <w:szCs w:val="24"/>
        </w:rPr>
        <w:t xml:space="preserve"> data, a structured MTSS should be in place</w:t>
      </w:r>
      <w:r w:rsidR="00627263" w:rsidRPr="00627263">
        <w:rPr>
          <w:rFonts w:eastAsia="Times New Roman" w:cs="Arial"/>
          <w:color w:val="000000"/>
          <w:szCs w:val="24"/>
        </w:rPr>
        <w:t xml:space="preserve"> with clearly defined </w:t>
      </w:r>
      <w:r w:rsidR="00B42489">
        <w:rPr>
          <w:rFonts w:eastAsia="Times New Roman" w:cs="Arial"/>
          <w:color w:val="000000"/>
          <w:szCs w:val="24"/>
        </w:rPr>
        <w:t xml:space="preserve">evidence-based </w:t>
      </w:r>
      <w:r w:rsidR="00627263" w:rsidRPr="00627263">
        <w:rPr>
          <w:rFonts w:eastAsia="Times New Roman" w:cs="Arial"/>
          <w:color w:val="000000"/>
          <w:szCs w:val="24"/>
        </w:rPr>
        <w:t xml:space="preserve">Tier II interventions and </w:t>
      </w:r>
      <w:r w:rsidRPr="00627263">
        <w:rPr>
          <w:rFonts w:eastAsia="Times New Roman" w:cs="Arial"/>
          <w:color w:val="000000"/>
          <w:szCs w:val="24"/>
        </w:rPr>
        <w:t xml:space="preserve">Tier III </w:t>
      </w:r>
      <w:r w:rsidR="00452BCA">
        <w:rPr>
          <w:rFonts w:eastAsia="Times New Roman" w:cs="Arial"/>
          <w:color w:val="000000"/>
          <w:szCs w:val="24"/>
        </w:rPr>
        <w:t>supports</w:t>
      </w:r>
      <w:r w:rsidR="00452BCA" w:rsidRPr="00627263">
        <w:rPr>
          <w:rFonts w:eastAsia="Times New Roman" w:cs="Arial"/>
          <w:color w:val="000000"/>
          <w:szCs w:val="24"/>
        </w:rPr>
        <w:t xml:space="preserve"> </w:t>
      </w:r>
      <w:r w:rsidRPr="00627263">
        <w:rPr>
          <w:rFonts w:eastAsia="Times New Roman" w:cs="Arial"/>
          <w:color w:val="000000"/>
          <w:szCs w:val="24"/>
        </w:rPr>
        <w:t>for intensifying interventions</w:t>
      </w:r>
      <w:r w:rsidR="00627263" w:rsidRPr="00627263">
        <w:rPr>
          <w:rFonts w:eastAsia="Times New Roman" w:cs="Arial"/>
          <w:color w:val="000000"/>
          <w:szCs w:val="24"/>
        </w:rPr>
        <w:t xml:space="preserve"> with data-based individualization</w:t>
      </w:r>
      <w:r w:rsidRPr="00627263">
        <w:rPr>
          <w:rFonts w:eastAsia="Times New Roman" w:cs="Arial"/>
          <w:color w:val="000000"/>
          <w:szCs w:val="24"/>
        </w:rPr>
        <w:t>.</w:t>
      </w:r>
      <w:r w:rsidR="00646C4B">
        <w:rPr>
          <w:rFonts w:eastAsia="Times New Roman" w:cs="Arial"/>
          <w:color w:val="000000"/>
          <w:szCs w:val="24"/>
        </w:rPr>
        <w:t xml:space="preserve"> </w:t>
      </w:r>
    </w:p>
    <w:p w14:paraId="57AA6353" w14:textId="77777777" w:rsidR="00B42489" w:rsidRDefault="00367F94" w:rsidP="003E7A3D">
      <w:pPr>
        <w:pStyle w:val="Heading4"/>
        <w:rPr>
          <w:rFonts w:eastAsia="Times New Roman"/>
        </w:rPr>
      </w:pPr>
      <w:r>
        <w:rPr>
          <w:rFonts w:eastAsia="Times New Roman"/>
        </w:rPr>
        <w:t xml:space="preserve">State Literacy Plan </w:t>
      </w:r>
      <w:r w:rsidR="002E3E3E" w:rsidRPr="007B4436">
        <w:rPr>
          <w:rFonts w:eastAsia="Times New Roman"/>
        </w:rPr>
        <w:t>Continuous Learning Process</w:t>
      </w:r>
    </w:p>
    <w:p w14:paraId="3EB14051" w14:textId="77777777" w:rsidR="006C065B" w:rsidRPr="00B42489" w:rsidRDefault="00B42489" w:rsidP="004D3DDA">
      <w:pPr>
        <w:ind w:left="720"/>
        <w:textAlignment w:val="baseline"/>
        <w:rPr>
          <w:rFonts w:eastAsia="Times New Roman" w:cs="Arial"/>
          <w:b/>
          <w:color w:val="000000"/>
          <w:szCs w:val="24"/>
        </w:rPr>
      </w:pPr>
      <w:r>
        <w:rPr>
          <w:rFonts w:eastAsia="Times New Roman" w:cs="Arial"/>
          <w:color w:val="000000"/>
          <w:szCs w:val="24"/>
        </w:rPr>
        <w:t>The grantee will use</w:t>
      </w:r>
      <w:r w:rsidR="007B4436" w:rsidRPr="007B4436">
        <w:rPr>
          <w:rFonts w:eastAsia="Times New Roman" w:cs="Arial"/>
          <w:color w:val="000000"/>
          <w:szCs w:val="24"/>
        </w:rPr>
        <w:t xml:space="preserve"> the</w:t>
      </w:r>
      <w:r>
        <w:rPr>
          <w:rFonts w:eastAsia="Times New Roman" w:cs="Arial"/>
          <w:color w:val="000000"/>
          <w:szCs w:val="24"/>
        </w:rPr>
        <w:t xml:space="preserve"> SLP’s</w:t>
      </w:r>
      <w:r w:rsidR="007B4436" w:rsidRPr="007B4436">
        <w:rPr>
          <w:rFonts w:eastAsia="Times New Roman" w:cs="Arial"/>
          <w:color w:val="000000"/>
          <w:szCs w:val="24"/>
        </w:rPr>
        <w:t xml:space="preserve"> continuous learning process to improve literacy outcomes for</w:t>
      </w:r>
      <w:r w:rsidR="000534B2">
        <w:rPr>
          <w:rFonts w:eastAsia="Times New Roman" w:cs="Arial"/>
          <w:color w:val="000000"/>
          <w:szCs w:val="24"/>
        </w:rPr>
        <w:t xml:space="preserve"> all</w:t>
      </w:r>
      <w:r w:rsidR="007B4436" w:rsidRPr="007B4436">
        <w:rPr>
          <w:rFonts w:eastAsia="Times New Roman" w:cs="Arial"/>
          <w:color w:val="000000"/>
          <w:szCs w:val="24"/>
        </w:rPr>
        <w:t xml:space="preserve"> students. This process includes setting direction and purpose, assessing local needs to determine causal factors of greatest need, planning for improvement, implementing and monitoring work, and reflecting and adjusting course.</w:t>
      </w:r>
      <w:r w:rsidR="007B4436" w:rsidRPr="007B4436">
        <w:rPr>
          <w:rStyle w:val="FootnoteReference"/>
          <w:rFonts w:eastAsia="Times New Roman" w:cs="Arial"/>
          <w:color w:val="000000"/>
          <w:szCs w:val="24"/>
        </w:rPr>
        <w:footnoteReference w:id="7"/>
      </w:r>
      <w:r w:rsidR="007B4436" w:rsidRPr="007B4436">
        <w:rPr>
          <w:rFonts w:eastAsia="Times New Roman" w:cs="Arial"/>
          <w:color w:val="000000"/>
          <w:szCs w:val="24"/>
        </w:rPr>
        <w:t xml:space="preserve"> </w:t>
      </w:r>
    </w:p>
    <w:p w14:paraId="30FD431C" w14:textId="77777777" w:rsidR="006C065B" w:rsidRDefault="00B42489" w:rsidP="00E661FB">
      <w:pPr>
        <w:spacing w:after="480"/>
        <w:ind w:left="720"/>
        <w:textAlignment w:val="baseline"/>
        <w:rPr>
          <w:rFonts w:eastAsia="Times New Roman" w:cs="Arial"/>
          <w:color w:val="000000"/>
          <w:sz w:val="22"/>
        </w:rPr>
      </w:pPr>
      <w:r w:rsidRPr="004C77BA">
        <w:rPr>
          <w:rFonts w:cs="Arial"/>
          <w:lang w:val="en"/>
        </w:rPr>
        <w:t>Through the</w:t>
      </w:r>
      <w:r w:rsidR="00204688" w:rsidRPr="004C77BA">
        <w:rPr>
          <w:rFonts w:cs="Arial"/>
          <w:lang w:val="en"/>
        </w:rPr>
        <w:t xml:space="preserve"> continuous learning process, PL provided through the RII grant </w:t>
      </w:r>
      <w:r w:rsidR="000534B2" w:rsidRPr="004C77BA">
        <w:rPr>
          <w:rFonts w:cs="Arial"/>
          <w:lang w:val="en"/>
        </w:rPr>
        <w:t xml:space="preserve">must </w:t>
      </w:r>
      <w:r w:rsidR="00204688" w:rsidRPr="004C77BA">
        <w:rPr>
          <w:rFonts w:cs="Arial"/>
          <w:lang w:val="en"/>
        </w:rPr>
        <w:t xml:space="preserve">support educators in </w:t>
      </w:r>
      <w:r w:rsidR="00204688" w:rsidRPr="004C77BA">
        <w:rPr>
          <w:rFonts w:cs="Arial"/>
        </w:rPr>
        <w:t>specifically addressing pandemic-related literacy learning acceleration, distance and hybrid learning contexts, and the related digital divide.</w:t>
      </w:r>
    </w:p>
    <w:p w14:paraId="7F046149" w14:textId="77777777" w:rsidR="00385FFE" w:rsidRDefault="00385FFE" w:rsidP="00AC3E33">
      <w:pPr>
        <w:pStyle w:val="Heading3"/>
        <w:spacing w:before="0"/>
        <w:ind w:left="720"/>
      </w:pPr>
      <w:bookmarkStart w:id="16" w:name="_Toc86663621"/>
      <w:bookmarkStart w:id="17" w:name="_Toc89072190"/>
      <w:bookmarkStart w:id="18" w:name="_Toc89072287"/>
      <w:r>
        <w:lastRenderedPageBreak/>
        <w:t>Alignment to State Literacy Initiatives</w:t>
      </w:r>
      <w:bookmarkEnd w:id="16"/>
      <w:bookmarkEnd w:id="17"/>
      <w:bookmarkEnd w:id="18"/>
    </w:p>
    <w:p w14:paraId="66151EBC" w14:textId="77777777" w:rsidR="00385FFE" w:rsidRDefault="00385FFE" w:rsidP="004D3DDA">
      <w:pPr>
        <w:ind w:left="720"/>
        <w:rPr>
          <w:lang w:val="en"/>
        </w:rPr>
      </w:pPr>
      <w:r>
        <w:rPr>
          <w:rFonts w:cs="Arial"/>
          <w:color w:val="000000"/>
          <w:shd w:val="clear" w:color="auto" w:fill="FFFFFF"/>
        </w:rPr>
        <w:t>In the fall of 2021, State Superintendent of Public Instruction, Tony Thurmond announced a campaign to ensure</w:t>
      </w:r>
      <w:r w:rsidRPr="005B0407">
        <w:rPr>
          <w:rFonts w:cs="Arial"/>
          <w:szCs w:val="24"/>
          <w:highlight w:val="white"/>
          <w:lang w:val="en"/>
        </w:rPr>
        <w:t xml:space="preserve"> that every California student will learn to read by third grade by the year 2026. The effort also include</w:t>
      </w:r>
      <w:r>
        <w:rPr>
          <w:rFonts w:cs="Arial"/>
          <w:szCs w:val="24"/>
          <w:highlight w:val="white"/>
          <w:lang w:val="en"/>
        </w:rPr>
        <w:t>s</w:t>
      </w:r>
      <w:r w:rsidRPr="005B0407">
        <w:rPr>
          <w:rFonts w:cs="Arial"/>
          <w:szCs w:val="24"/>
          <w:highlight w:val="white"/>
          <w:lang w:val="en"/>
        </w:rPr>
        <w:t xml:space="preserve"> a biliteracy milestone for dual-language learners</w:t>
      </w:r>
      <w:r>
        <w:rPr>
          <w:rFonts w:cs="Arial"/>
          <w:szCs w:val="24"/>
          <w:highlight w:val="white"/>
          <w:lang w:val="en"/>
        </w:rPr>
        <w:t>. Achievement of this vision requires the alignment</w:t>
      </w:r>
      <w:r w:rsidRPr="008C744F">
        <w:rPr>
          <w:lang w:val="en"/>
        </w:rPr>
        <w:t xml:space="preserve"> </w:t>
      </w:r>
      <w:r>
        <w:rPr>
          <w:lang w:val="en"/>
        </w:rPr>
        <w:t>of literacy initiatives and guidance across the state. The RII grant will be key to reaching this goal.</w:t>
      </w:r>
    </w:p>
    <w:p w14:paraId="5348FDD1" w14:textId="77777777" w:rsidR="00097062" w:rsidRPr="00792799" w:rsidRDefault="003F23FC" w:rsidP="004D3DDA">
      <w:pPr>
        <w:autoSpaceDE w:val="0"/>
        <w:autoSpaceDN w:val="0"/>
        <w:adjustRightInd w:val="0"/>
        <w:ind w:left="720"/>
        <w:rPr>
          <w:rFonts w:cs="Arial"/>
          <w:color w:val="000000"/>
        </w:rPr>
      </w:pPr>
      <w:r w:rsidRPr="00792799">
        <w:rPr>
          <w:rFonts w:cs="Arial"/>
          <w:color w:val="000000"/>
        </w:rPr>
        <w:t xml:space="preserve">The CDE and the CCEE shall, to the greatest extent practicable, facilitate coordination among the grantee and other literacy initiatives, including, but not limited to, all of the following: </w:t>
      </w:r>
    </w:p>
    <w:p w14:paraId="323E2DDE" w14:textId="77777777" w:rsidR="003F23FC" w:rsidRPr="00792799" w:rsidRDefault="003F23FC" w:rsidP="004D3DDA">
      <w:pPr>
        <w:widowControl w:val="0"/>
        <w:numPr>
          <w:ilvl w:val="0"/>
          <w:numId w:val="25"/>
        </w:numPr>
        <w:autoSpaceDE w:val="0"/>
        <w:autoSpaceDN w:val="0"/>
        <w:adjustRightInd w:val="0"/>
        <w:ind w:left="1440"/>
        <w:rPr>
          <w:rFonts w:cs="Arial"/>
          <w:color w:val="000000"/>
          <w:szCs w:val="24"/>
        </w:rPr>
      </w:pPr>
      <w:r w:rsidRPr="00792799">
        <w:rPr>
          <w:rFonts w:cs="Arial"/>
          <w:color w:val="000000"/>
          <w:szCs w:val="24"/>
        </w:rPr>
        <w:t xml:space="preserve">The California Subject Matter Projects, authorized pursuant to Article 1 (commencing with Section 99200) of Chapter 5 of Part 65 of Division 14 of Title 3 of the </w:t>
      </w:r>
      <w:r w:rsidRPr="00E661FB">
        <w:rPr>
          <w:rFonts w:cs="Arial"/>
          <w:i/>
          <w:color w:val="000000"/>
          <w:szCs w:val="24"/>
        </w:rPr>
        <w:t>EC</w:t>
      </w:r>
      <w:r w:rsidRPr="00792799">
        <w:rPr>
          <w:rFonts w:cs="Arial"/>
          <w:color w:val="000000"/>
          <w:szCs w:val="24"/>
        </w:rPr>
        <w:t xml:space="preserve">. </w:t>
      </w:r>
    </w:p>
    <w:p w14:paraId="1672698E" w14:textId="77777777" w:rsidR="003F23FC" w:rsidRPr="00792799" w:rsidRDefault="003F23FC" w:rsidP="004D3DDA">
      <w:pPr>
        <w:widowControl w:val="0"/>
        <w:numPr>
          <w:ilvl w:val="0"/>
          <w:numId w:val="25"/>
        </w:numPr>
        <w:autoSpaceDE w:val="0"/>
        <w:autoSpaceDN w:val="0"/>
        <w:adjustRightInd w:val="0"/>
        <w:ind w:left="1440"/>
        <w:rPr>
          <w:rFonts w:cs="Arial"/>
          <w:color w:val="000000"/>
          <w:szCs w:val="24"/>
        </w:rPr>
      </w:pPr>
      <w:r w:rsidRPr="00792799">
        <w:rPr>
          <w:rFonts w:cs="Arial"/>
          <w:color w:val="000000"/>
          <w:szCs w:val="24"/>
        </w:rPr>
        <w:t xml:space="preserve">Grantees of the 21st Century California School Leadership Academy, authorized pursuant to Article 5 (Section 44690) of Chapter 3.1 of Part 25 of Division 3 of Title 2 of the </w:t>
      </w:r>
      <w:r w:rsidRPr="00E661FB">
        <w:rPr>
          <w:rFonts w:cs="Arial"/>
          <w:i/>
          <w:color w:val="000000"/>
          <w:szCs w:val="24"/>
        </w:rPr>
        <w:t>EC</w:t>
      </w:r>
      <w:r w:rsidRPr="00792799">
        <w:rPr>
          <w:rFonts w:cs="Arial"/>
          <w:color w:val="000000"/>
          <w:szCs w:val="24"/>
        </w:rPr>
        <w:t xml:space="preserve">. </w:t>
      </w:r>
    </w:p>
    <w:p w14:paraId="3E482023" w14:textId="77777777" w:rsidR="003F23FC" w:rsidRPr="00792799" w:rsidRDefault="003F23FC" w:rsidP="004D3DDA">
      <w:pPr>
        <w:pStyle w:val="Default"/>
        <w:numPr>
          <w:ilvl w:val="0"/>
          <w:numId w:val="25"/>
        </w:numPr>
        <w:spacing w:after="240"/>
        <w:ind w:left="1440"/>
      </w:pPr>
      <w:r w:rsidRPr="00792799">
        <w:t xml:space="preserve">Grantees of the Comprehensive Literacy State Development </w:t>
      </w:r>
      <w:r w:rsidR="00F023B0">
        <w:t xml:space="preserve">(CLSD) </w:t>
      </w:r>
      <w:r w:rsidRPr="00792799">
        <w:t xml:space="preserve">Grant, pursuant to </w:t>
      </w:r>
      <w:r w:rsidR="00F023B0">
        <w:t>s</w:t>
      </w:r>
      <w:r w:rsidRPr="00792799">
        <w:t xml:space="preserve">ections 2222 and 2223 of the federal Elementary and Secondary Education Act of 1965, as amended </w:t>
      </w:r>
      <w:r w:rsidR="00367F94">
        <w:t xml:space="preserve">by </w:t>
      </w:r>
      <w:r w:rsidRPr="00792799">
        <w:t>(Title 20 of the United States Code</w:t>
      </w:r>
      <w:r w:rsidR="00367F94">
        <w:t xml:space="preserve"> </w:t>
      </w:r>
      <w:r w:rsidR="007D7E7E">
        <w:t>[</w:t>
      </w:r>
      <w:r w:rsidR="00367F94">
        <w:t>U.S.C.</w:t>
      </w:r>
      <w:r w:rsidR="007D7E7E">
        <w:t>]</w:t>
      </w:r>
      <w:r w:rsidRPr="00792799">
        <w:t>, Sections 6642 and 6643).</w:t>
      </w:r>
    </w:p>
    <w:p w14:paraId="7005B75A" w14:textId="77777777" w:rsidR="003F23FC" w:rsidRPr="002D0D3E" w:rsidRDefault="003F23FC" w:rsidP="004D3DDA">
      <w:pPr>
        <w:widowControl w:val="0"/>
        <w:numPr>
          <w:ilvl w:val="0"/>
          <w:numId w:val="25"/>
        </w:numPr>
        <w:autoSpaceDE w:val="0"/>
        <w:autoSpaceDN w:val="0"/>
        <w:adjustRightInd w:val="0"/>
        <w:ind w:left="1440"/>
        <w:rPr>
          <w:rFonts w:cs="Arial"/>
          <w:color w:val="000000"/>
          <w:szCs w:val="24"/>
        </w:rPr>
      </w:pPr>
      <w:r w:rsidRPr="00107304">
        <w:rPr>
          <w:rFonts w:cs="Arial"/>
          <w:color w:val="000000"/>
          <w:szCs w:val="24"/>
        </w:rPr>
        <w:t>Grantee(s) of</w:t>
      </w:r>
      <w:r w:rsidRPr="002D0D3E">
        <w:rPr>
          <w:rFonts w:cs="Arial"/>
          <w:color w:val="000000"/>
          <w:szCs w:val="24"/>
        </w:rPr>
        <w:t xml:space="preserve"> the </w:t>
      </w:r>
      <w:r w:rsidRPr="002D0D3E">
        <w:rPr>
          <w:rFonts w:cs="Arial"/>
          <w:color w:val="000000"/>
          <w:szCs w:val="24"/>
          <w:shd w:val="clear" w:color="auto" w:fill="FFFFFF"/>
        </w:rPr>
        <w:t xml:space="preserve">Educator Workforce Investment Grant (EWIG) for </w:t>
      </w:r>
      <w:r w:rsidR="007D7E7E">
        <w:rPr>
          <w:rFonts w:cs="Arial"/>
          <w:color w:val="000000"/>
          <w:szCs w:val="24"/>
          <w:shd w:val="clear" w:color="auto" w:fill="FFFFFF"/>
        </w:rPr>
        <w:t>EL</w:t>
      </w:r>
      <w:r w:rsidRPr="002D0D3E">
        <w:rPr>
          <w:rFonts w:cs="Arial"/>
          <w:color w:val="000000"/>
          <w:szCs w:val="24"/>
          <w:shd w:val="clear" w:color="auto" w:fill="FFFFFF"/>
        </w:rPr>
        <w:t xml:space="preserve"> Roadmap Policy implementation,</w:t>
      </w:r>
      <w:r w:rsidRPr="00792799">
        <w:rPr>
          <w:rFonts w:cs="Arial"/>
          <w:color w:val="000000"/>
          <w:szCs w:val="24"/>
        </w:rPr>
        <w:t xml:space="preserve"> subject to paragraph (2) of subdivision (b) of Section 84 of Chapter 51 of the Statutes of 2019. </w:t>
      </w:r>
    </w:p>
    <w:p w14:paraId="2657F354" w14:textId="77777777" w:rsidR="003F23FC" w:rsidRPr="002D0D3E" w:rsidRDefault="003F23FC" w:rsidP="004D3DDA">
      <w:pPr>
        <w:widowControl w:val="0"/>
        <w:numPr>
          <w:ilvl w:val="0"/>
          <w:numId w:val="25"/>
        </w:numPr>
        <w:autoSpaceDE w:val="0"/>
        <w:autoSpaceDN w:val="0"/>
        <w:adjustRightInd w:val="0"/>
        <w:ind w:left="1440"/>
        <w:rPr>
          <w:rFonts w:cs="Arial"/>
          <w:color w:val="000000"/>
          <w:szCs w:val="24"/>
        </w:rPr>
      </w:pPr>
      <w:r w:rsidRPr="002D0D3E">
        <w:rPr>
          <w:rFonts w:cs="Arial"/>
          <w:color w:val="000000"/>
          <w:szCs w:val="24"/>
        </w:rPr>
        <w:t xml:space="preserve">Grantee(s) </w:t>
      </w:r>
      <w:r>
        <w:rPr>
          <w:rFonts w:cs="Arial"/>
          <w:color w:val="000000"/>
          <w:szCs w:val="24"/>
        </w:rPr>
        <w:t>of the</w:t>
      </w:r>
      <w:r w:rsidRPr="002D0D3E">
        <w:rPr>
          <w:rFonts w:cs="Arial"/>
          <w:color w:val="000000"/>
          <w:szCs w:val="24"/>
        </w:rPr>
        <w:t xml:space="preserve"> </w:t>
      </w:r>
      <w:r w:rsidRPr="002D0D3E">
        <w:rPr>
          <w:rFonts w:cs="Arial"/>
          <w:color w:val="000000"/>
          <w:szCs w:val="24"/>
          <w:shd w:val="clear" w:color="auto" w:fill="FFFFFF"/>
        </w:rPr>
        <w:t xml:space="preserve">EWIG special education-related </w:t>
      </w:r>
      <w:r>
        <w:rPr>
          <w:rFonts w:cs="Arial"/>
          <w:color w:val="000000"/>
          <w:szCs w:val="24"/>
          <w:shd w:val="clear" w:color="auto" w:fill="FFFFFF"/>
        </w:rPr>
        <w:t>PL</w:t>
      </w:r>
      <w:r w:rsidRPr="002D0D3E">
        <w:rPr>
          <w:rFonts w:cs="Arial"/>
          <w:color w:val="000000"/>
          <w:szCs w:val="24"/>
          <w:shd w:val="clear" w:color="auto" w:fill="FFFFFF"/>
        </w:rPr>
        <w:t>, authorized by Senate Bill 75, Chapter 51 of the Statutes of 2019.</w:t>
      </w:r>
      <w:r w:rsidRPr="002D0D3E">
        <w:rPr>
          <w:rFonts w:cs="Arial"/>
          <w:color w:val="000000"/>
          <w:szCs w:val="24"/>
        </w:rPr>
        <w:t xml:space="preserve"> </w:t>
      </w:r>
    </w:p>
    <w:p w14:paraId="171EAC45" w14:textId="77777777" w:rsidR="003F23FC" w:rsidRPr="00792799" w:rsidRDefault="003F23FC" w:rsidP="004D3DDA">
      <w:pPr>
        <w:widowControl w:val="0"/>
        <w:numPr>
          <w:ilvl w:val="0"/>
          <w:numId w:val="25"/>
        </w:numPr>
        <w:autoSpaceDE w:val="0"/>
        <w:autoSpaceDN w:val="0"/>
        <w:adjustRightInd w:val="0"/>
        <w:ind w:left="1440"/>
        <w:rPr>
          <w:rFonts w:cs="Arial"/>
          <w:color w:val="000000"/>
          <w:szCs w:val="24"/>
        </w:rPr>
      </w:pPr>
      <w:r w:rsidRPr="00792799">
        <w:rPr>
          <w:rFonts w:cs="Arial"/>
          <w:color w:val="000000"/>
          <w:szCs w:val="24"/>
        </w:rPr>
        <w:t xml:space="preserve">The California Dyslexia Initiative, established pursuant to Section 119 of Chapter 24 of the Statutes of 2020. </w:t>
      </w:r>
    </w:p>
    <w:p w14:paraId="0EC382E0" w14:textId="77777777" w:rsidR="00F632CE" w:rsidRDefault="003F23FC" w:rsidP="00E661FB">
      <w:pPr>
        <w:pStyle w:val="ListParagraph"/>
        <w:widowControl w:val="0"/>
        <w:numPr>
          <w:ilvl w:val="0"/>
          <w:numId w:val="25"/>
        </w:numPr>
        <w:autoSpaceDE w:val="0"/>
        <w:autoSpaceDN w:val="0"/>
        <w:adjustRightInd w:val="0"/>
        <w:spacing w:after="480"/>
        <w:ind w:left="1440"/>
        <w:rPr>
          <w:rFonts w:cs="Arial"/>
          <w:color w:val="000000"/>
          <w:shd w:val="clear" w:color="auto" w:fill="FFFFFF"/>
        </w:rPr>
      </w:pPr>
      <w:r w:rsidRPr="00AB6467">
        <w:rPr>
          <w:rFonts w:cs="Arial"/>
          <w:color w:val="000000"/>
          <w:szCs w:val="24"/>
        </w:rPr>
        <w:t xml:space="preserve">The Early Literacy Support Block Grant Expert Lead in Literacy, authorized by </w:t>
      </w:r>
      <w:r w:rsidRPr="00AB6467">
        <w:rPr>
          <w:rFonts w:cs="Arial"/>
          <w:color w:val="000000"/>
          <w:shd w:val="clear" w:color="auto" w:fill="FFFFFF"/>
        </w:rPr>
        <w:t>Section 114 of the Education Omnibus Trailer Bill (SB 98) for the 2020–21 California State Budget.</w:t>
      </w:r>
    </w:p>
    <w:p w14:paraId="7D807A80" w14:textId="77777777" w:rsidR="0056734A" w:rsidRPr="00BB29E9" w:rsidRDefault="001179FB" w:rsidP="00E661FB">
      <w:pPr>
        <w:pStyle w:val="Heading2"/>
        <w:numPr>
          <w:ilvl w:val="0"/>
          <w:numId w:val="68"/>
        </w:numPr>
        <w:spacing w:before="0" w:after="480"/>
        <w:ind w:left="360"/>
      </w:pPr>
      <w:bookmarkStart w:id="19" w:name="_Toc86663622"/>
      <w:bookmarkStart w:id="20" w:name="_Toc89072191"/>
      <w:bookmarkStart w:id="21" w:name="_Toc89072288"/>
      <w:r w:rsidRPr="00BB29E9">
        <w:t>Program Description</w:t>
      </w:r>
      <w:bookmarkEnd w:id="19"/>
      <w:bookmarkEnd w:id="20"/>
      <w:bookmarkEnd w:id="21"/>
    </w:p>
    <w:p w14:paraId="44E88A5E" w14:textId="77777777" w:rsidR="005E10B9" w:rsidRPr="00F632CE" w:rsidRDefault="005E10B9" w:rsidP="00B471CA">
      <w:pPr>
        <w:pStyle w:val="Heading3"/>
        <w:numPr>
          <w:ilvl w:val="1"/>
          <w:numId w:val="42"/>
        </w:numPr>
        <w:spacing w:before="0"/>
        <w:ind w:left="720"/>
      </w:pPr>
      <w:bookmarkStart w:id="22" w:name="_Toc86663623"/>
      <w:bookmarkStart w:id="23" w:name="_Toc89072192"/>
      <w:bookmarkStart w:id="24" w:name="_Toc89072289"/>
      <w:r w:rsidRPr="00F632CE">
        <w:t>Eligibility Requirements</w:t>
      </w:r>
      <w:bookmarkEnd w:id="22"/>
      <w:bookmarkEnd w:id="23"/>
      <w:bookmarkEnd w:id="24"/>
    </w:p>
    <w:p w14:paraId="28111A62" w14:textId="77777777" w:rsidR="00F632CE" w:rsidRDefault="00F632CE" w:rsidP="006F18C1">
      <w:pPr>
        <w:ind w:left="720"/>
        <w:rPr>
          <w:rFonts w:cs="Arial"/>
        </w:rPr>
      </w:pPr>
      <w:r w:rsidRPr="00AA7F8C">
        <w:rPr>
          <w:rFonts w:cs="Arial"/>
          <w:szCs w:val="24"/>
        </w:rPr>
        <w:t>The CDE shall allocate grant funding to</w:t>
      </w:r>
      <w:r>
        <w:rPr>
          <w:rFonts w:cs="Arial"/>
          <w:szCs w:val="24"/>
        </w:rPr>
        <w:t xml:space="preserve"> one or more</w:t>
      </w:r>
      <w:r w:rsidRPr="00AA7F8C">
        <w:rPr>
          <w:rFonts w:cs="Arial"/>
          <w:szCs w:val="24"/>
        </w:rPr>
        <w:t xml:space="preserve"> eligible LEAs</w:t>
      </w:r>
      <w:r>
        <w:rPr>
          <w:rFonts w:cs="Arial"/>
          <w:szCs w:val="24"/>
        </w:rPr>
        <w:t>,</w:t>
      </w:r>
      <w:r w:rsidRPr="00AA7F8C">
        <w:rPr>
          <w:rFonts w:cs="Arial"/>
          <w:szCs w:val="24"/>
        </w:rPr>
        <w:t xml:space="preserve"> including </w:t>
      </w:r>
      <w:r w:rsidR="001406BA">
        <w:rPr>
          <w:rFonts w:cs="Arial"/>
          <w:szCs w:val="24"/>
        </w:rPr>
        <w:t>COEs</w:t>
      </w:r>
      <w:r w:rsidRPr="00AA7F8C">
        <w:rPr>
          <w:rFonts w:cs="Arial"/>
          <w:szCs w:val="24"/>
        </w:rPr>
        <w:t xml:space="preserve">, school districts, charter schools, or a </w:t>
      </w:r>
      <w:r>
        <w:rPr>
          <w:rFonts w:cs="Arial"/>
          <w:szCs w:val="24"/>
        </w:rPr>
        <w:t>consortium</w:t>
      </w:r>
      <w:r w:rsidRPr="00AA7F8C">
        <w:rPr>
          <w:rFonts w:cs="Arial"/>
          <w:szCs w:val="24"/>
        </w:rPr>
        <w:t xml:space="preserve"> of multiple LEAs. </w:t>
      </w:r>
      <w:r w:rsidRPr="00DC6925">
        <w:rPr>
          <w:rFonts w:cs="Arial"/>
        </w:rPr>
        <w:t xml:space="preserve">The </w:t>
      </w:r>
      <w:r w:rsidRPr="00DC6925">
        <w:rPr>
          <w:rFonts w:cs="Arial"/>
        </w:rPr>
        <w:lastRenderedPageBreak/>
        <w:t>CDE shall give positive consideration to applicants that propose partnerships with an institution of higher education</w:t>
      </w:r>
      <w:r w:rsidR="00310E0E">
        <w:rPr>
          <w:rFonts w:cs="Arial"/>
        </w:rPr>
        <w:t xml:space="preserve"> (IHE)</w:t>
      </w:r>
      <w:r w:rsidRPr="00DC6925">
        <w:rPr>
          <w:rFonts w:cs="Arial"/>
        </w:rPr>
        <w:t xml:space="preserve">, a nonprofit organization, or a consortium of </w:t>
      </w:r>
      <w:r w:rsidR="00310E0E">
        <w:rPr>
          <w:rFonts w:cs="Arial"/>
        </w:rPr>
        <w:t>IHEs</w:t>
      </w:r>
      <w:r w:rsidRPr="00DC6925">
        <w:rPr>
          <w:rFonts w:cs="Arial"/>
        </w:rPr>
        <w:t xml:space="preserve"> and nonprofit organizations.</w:t>
      </w:r>
      <w:r w:rsidRPr="00D50D04">
        <w:rPr>
          <w:rFonts w:cs="Arial"/>
        </w:rPr>
        <w:t xml:space="preserve"> </w:t>
      </w:r>
      <w:r w:rsidRPr="00AA7F8C">
        <w:rPr>
          <w:rFonts w:cs="Arial"/>
        </w:rPr>
        <w:t xml:space="preserve">LEAs are also encouraged to partner as a </w:t>
      </w:r>
      <w:r>
        <w:rPr>
          <w:rFonts w:cs="Arial"/>
        </w:rPr>
        <w:t>consortium</w:t>
      </w:r>
      <w:r w:rsidRPr="00AA7F8C">
        <w:rPr>
          <w:rFonts w:cs="Arial"/>
        </w:rPr>
        <w:t xml:space="preserve"> with other LEAs </w:t>
      </w:r>
      <w:r>
        <w:rPr>
          <w:rFonts w:cs="Arial"/>
        </w:rPr>
        <w:t>in the development of the</w:t>
      </w:r>
      <w:r w:rsidRPr="00AA7F8C">
        <w:rPr>
          <w:rFonts w:cs="Arial"/>
        </w:rPr>
        <w:t xml:space="preserve"> proposal</w:t>
      </w:r>
      <w:r>
        <w:rPr>
          <w:rFonts w:cs="Arial"/>
        </w:rPr>
        <w:t xml:space="preserve"> and throughout the duration of the grant period</w:t>
      </w:r>
      <w:r w:rsidRPr="00AA7F8C">
        <w:rPr>
          <w:rFonts w:cs="Arial"/>
        </w:rPr>
        <w:t xml:space="preserve">. If a </w:t>
      </w:r>
      <w:r>
        <w:rPr>
          <w:rFonts w:cs="Arial"/>
        </w:rPr>
        <w:t>consortium</w:t>
      </w:r>
      <w:r w:rsidRPr="00AA7F8C">
        <w:rPr>
          <w:rFonts w:cs="Arial"/>
        </w:rPr>
        <w:t xml:space="preserve"> of </w:t>
      </w:r>
      <w:r>
        <w:rPr>
          <w:rFonts w:cs="Arial"/>
        </w:rPr>
        <w:t>LEA</w:t>
      </w:r>
      <w:r w:rsidRPr="00AA7F8C">
        <w:rPr>
          <w:rFonts w:cs="Arial"/>
        </w:rPr>
        <w:t xml:space="preserve">s submits an application, one LEA must be identified as the </w:t>
      </w:r>
      <w:r>
        <w:rPr>
          <w:rFonts w:cs="Arial"/>
        </w:rPr>
        <w:t>L</w:t>
      </w:r>
      <w:r w:rsidRPr="00AA7F8C">
        <w:rPr>
          <w:rFonts w:cs="Arial"/>
        </w:rPr>
        <w:t xml:space="preserve">ead </w:t>
      </w:r>
      <w:r>
        <w:rPr>
          <w:rFonts w:cs="Arial"/>
        </w:rPr>
        <w:t>A</w:t>
      </w:r>
      <w:r w:rsidRPr="00AA7F8C">
        <w:rPr>
          <w:rFonts w:cs="Arial"/>
        </w:rPr>
        <w:t xml:space="preserve">pplicant. The </w:t>
      </w:r>
      <w:r>
        <w:rPr>
          <w:rFonts w:cs="Arial"/>
        </w:rPr>
        <w:t>L</w:t>
      </w:r>
      <w:r w:rsidRPr="00AA7F8C">
        <w:rPr>
          <w:rFonts w:cs="Arial"/>
        </w:rPr>
        <w:t xml:space="preserve">ead </w:t>
      </w:r>
      <w:r w:rsidRPr="004C77BA">
        <w:rPr>
          <w:rFonts w:cs="Arial"/>
        </w:rPr>
        <w:t>Applicant must be an LEA with demonstrated abilities and expertise developing, implementing, and supporting LEAs in the area of reading instruction and intervention and executive functioning skills.</w:t>
      </w:r>
      <w:r w:rsidRPr="00AA7F8C">
        <w:rPr>
          <w:rFonts w:cs="Arial"/>
        </w:rPr>
        <w:t xml:space="preserve"> </w:t>
      </w:r>
    </w:p>
    <w:p w14:paraId="332DDA19" w14:textId="77777777" w:rsidR="00F632CE" w:rsidRDefault="00F632CE" w:rsidP="00E409A1">
      <w:pPr>
        <w:ind w:left="720"/>
        <w:rPr>
          <w:rFonts w:cs="Arial"/>
        </w:rPr>
      </w:pPr>
      <w:r w:rsidRPr="004C77BA">
        <w:rPr>
          <w:rFonts w:cs="Arial"/>
        </w:rPr>
        <w:t>The successful applicant</w:t>
      </w:r>
      <w:r w:rsidR="00FB6A4B" w:rsidRPr="004C77BA">
        <w:rPr>
          <w:rFonts w:cs="Arial"/>
        </w:rPr>
        <w:t xml:space="preserve"> </w:t>
      </w:r>
      <w:r w:rsidRPr="004C77BA">
        <w:rPr>
          <w:rFonts w:cs="Arial"/>
        </w:rPr>
        <w:t xml:space="preserve">must demonstrate the capacity to create PL networks as part of the Statewide </w:t>
      </w:r>
      <w:proofErr w:type="spellStart"/>
      <w:r w:rsidRPr="004C77BA">
        <w:rPr>
          <w:rFonts w:cs="Arial"/>
        </w:rPr>
        <w:t>SoS</w:t>
      </w:r>
      <w:proofErr w:type="spellEnd"/>
      <w:r w:rsidRPr="004C77BA">
        <w:rPr>
          <w:rFonts w:cs="Arial"/>
        </w:rPr>
        <w:t>, in coordination with the CDE and the CCEE, to help build statewide capacity among LEAs in implementing effective literacy instruction and support programs, with a focus on executive functioning skills, across school sites.</w:t>
      </w:r>
    </w:p>
    <w:p w14:paraId="0114C947" w14:textId="77777777" w:rsidR="00B02C26" w:rsidRPr="00977886" w:rsidRDefault="00B02C26" w:rsidP="00E661FB">
      <w:pPr>
        <w:spacing w:after="480"/>
        <w:ind w:left="720"/>
        <w:rPr>
          <w:rStyle w:val="Hyperlink"/>
          <w:rFonts w:cs="Arial"/>
          <w:color w:val="auto"/>
          <w:u w:val="none"/>
        </w:rPr>
      </w:pPr>
      <w:r w:rsidRPr="004C77BA">
        <w:rPr>
          <w:rStyle w:val="Hyperlink"/>
          <w:rFonts w:cs="Arial"/>
          <w:color w:val="auto"/>
          <w:u w:val="none"/>
        </w:rPr>
        <w:t xml:space="preserve">The successful applicant must also demonstrate </w:t>
      </w:r>
      <w:r w:rsidR="00DC546F" w:rsidRPr="004C77BA">
        <w:rPr>
          <w:rStyle w:val="Hyperlink"/>
          <w:rFonts w:cs="Arial"/>
          <w:color w:val="auto"/>
          <w:u w:val="none"/>
        </w:rPr>
        <w:t>how</w:t>
      </w:r>
      <w:r w:rsidRPr="004C77BA">
        <w:rPr>
          <w:rStyle w:val="Hyperlink"/>
          <w:rFonts w:cs="Arial"/>
          <w:color w:val="auto"/>
          <w:u w:val="none"/>
        </w:rPr>
        <w:t xml:space="preserve"> the PL provided through this grant </w:t>
      </w:r>
      <w:r w:rsidR="00BD4F25" w:rsidRPr="004C77BA">
        <w:rPr>
          <w:rStyle w:val="Hyperlink"/>
          <w:rFonts w:cs="Arial"/>
          <w:color w:val="auto"/>
          <w:u w:val="none"/>
        </w:rPr>
        <w:t xml:space="preserve">program </w:t>
      </w:r>
      <w:r w:rsidRPr="004C77BA">
        <w:rPr>
          <w:rStyle w:val="Hyperlink"/>
          <w:rFonts w:cs="Arial"/>
          <w:color w:val="auto"/>
          <w:u w:val="none"/>
        </w:rPr>
        <w:t xml:space="preserve">will directly impact classroom instruction and that there are </w:t>
      </w:r>
      <w:r w:rsidR="00DC546F" w:rsidRPr="004C77BA">
        <w:rPr>
          <w:rStyle w:val="Hyperlink"/>
          <w:rFonts w:cs="Arial"/>
          <w:color w:val="auto"/>
          <w:u w:val="none"/>
        </w:rPr>
        <w:t>plans</w:t>
      </w:r>
      <w:r w:rsidRPr="004C77BA">
        <w:rPr>
          <w:rStyle w:val="Hyperlink"/>
          <w:rFonts w:cs="Arial"/>
          <w:color w:val="auto"/>
          <w:u w:val="none"/>
        </w:rPr>
        <w:t xml:space="preserve"> in place to directly support teachers </w:t>
      </w:r>
      <w:r w:rsidR="00374FC2" w:rsidRPr="004C77BA">
        <w:rPr>
          <w:rStyle w:val="Hyperlink"/>
          <w:rFonts w:cs="Arial"/>
          <w:color w:val="auto"/>
          <w:u w:val="none"/>
        </w:rPr>
        <w:t>in providing best first instruction, collecting and analyzing student data, making instructional adjustments, identifying students needing interventions and providing those interventions promptly, and</w:t>
      </w:r>
      <w:r w:rsidRPr="004C77BA">
        <w:rPr>
          <w:rStyle w:val="Hyperlink"/>
          <w:rFonts w:cs="Arial"/>
          <w:color w:val="auto"/>
          <w:u w:val="none"/>
        </w:rPr>
        <w:t xml:space="preserve"> monitor</w:t>
      </w:r>
      <w:r w:rsidR="00374FC2" w:rsidRPr="004C77BA">
        <w:rPr>
          <w:rStyle w:val="Hyperlink"/>
          <w:rFonts w:cs="Arial"/>
          <w:color w:val="auto"/>
          <w:u w:val="none"/>
        </w:rPr>
        <w:t>ing</w:t>
      </w:r>
      <w:r w:rsidRPr="004C77BA">
        <w:rPr>
          <w:rStyle w:val="Hyperlink"/>
          <w:rFonts w:cs="Arial"/>
          <w:color w:val="auto"/>
          <w:u w:val="none"/>
        </w:rPr>
        <w:t xml:space="preserve"> student </w:t>
      </w:r>
      <w:r w:rsidR="00374FC2" w:rsidRPr="004C77BA">
        <w:rPr>
          <w:rStyle w:val="Hyperlink"/>
          <w:rFonts w:cs="Arial"/>
          <w:color w:val="auto"/>
          <w:u w:val="none"/>
        </w:rPr>
        <w:t>progress</w:t>
      </w:r>
      <w:r w:rsidRPr="004C77BA">
        <w:rPr>
          <w:rStyle w:val="Hyperlink"/>
          <w:rFonts w:cs="Arial"/>
          <w:color w:val="auto"/>
          <w:u w:val="none"/>
        </w:rPr>
        <w:t xml:space="preserve"> ongoing.</w:t>
      </w:r>
      <w:r w:rsidR="0035050A">
        <w:rPr>
          <w:rStyle w:val="Hyperlink"/>
          <w:rFonts w:cs="Arial"/>
          <w:color w:val="auto"/>
          <w:u w:val="none"/>
        </w:rPr>
        <w:t xml:space="preserve"> </w:t>
      </w:r>
      <w:r w:rsidR="0035050A" w:rsidRPr="001E693E">
        <w:rPr>
          <w:rStyle w:val="Hyperlink"/>
          <w:rFonts w:cs="Arial"/>
          <w:color w:val="auto"/>
          <w:u w:val="none"/>
        </w:rPr>
        <w:t xml:space="preserve">The grantee must </w:t>
      </w:r>
      <w:r w:rsidR="0035050A" w:rsidRPr="001E693E">
        <w:rPr>
          <w:rFonts w:eastAsia="Times New Roman" w:cs="Arial"/>
          <w:color w:val="000000"/>
          <w:szCs w:val="24"/>
          <w:shd w:val="clear" w:color="auto" w:fill="FFFFFF"/>
        </w:rPr>
        <w:t>ensure that the PL opportunities are provided to urban, suburban, and rural settings throughout the state and are differentiated to meet local needs.</w:t>
      </w:r>
    </w:p>
    <w:p w14:paraId="157A5441" w14:textId="77777777" w:rsidR="005E10B9" w:rsidRPr="00C238DB" w:rsidRDefault="00587DCE" w:rsidP="00B471CA">
      <w:pPr>
        <w:pStyle w:val="Heading3"/>
        <w:numPr>
          <w:ilvl w:val="1"/>
          <w:numId w:val="42"/>
        </w:numPr>
        <w:spacing w:before="0"/>
        <w:ind w:left="720"/>
      </w:pPr>
      <w:bookmarkStart w:id="25" w:name="_Toc86663624"/>
      <w:bookmarkStart w:id="26" w:name="_Toc89072193"/>
      <w:bookmarkStart w:id="27" w:name="_Toc89072290"/>
      <w:r w:rsidRPr="00C238DB">
        <w:t>Goals</w:t>
      </w:r>
      <w:bookmarkEnd w:id="25"/>
      <w:bookmarkEnd w:id="26"/>
      <w:bookmarkEnd w:id="27"/>
    </w:p>
    <w:p w14:paraId="10FF0295" w14:textId="77777777" w:rsidR="00935511" w:rsidRPr="00DC6925" w:rsidRDefault="00AD2785" w:rsidP="004D3DDA">
      <w:pPr>
        <w:ind w:left="720"/>
        <w:rPr>
          <w:rFonts w:cs="Arial"/>
          <w:color w:val="000000"/>
          <w:szCs w:val="24"/>
        </w:rPr>
      </w:pPr>
      <w:r w:rsidRPr="00C238DB">
        <w:t>The</w:t>
      </w:r>
      <w:r w:rsidR="00587DCE" w:rsidRPr="00C238DB">
        <w:t xml:space="preserve"> grantee will collaboratively bui</w:t>
      </w:r>
      <w:r w:rsidR="005A759A" w:rsidRPr="00C238DB">
        <w:t>ld the capacity of LEAs</w:t>
      </w:r>
      <w:r w:rsidR="004C6CCD" w:rsidRPr="00C238DB">
        <w:t xml:space="preserve"> </w:t>
      </w:r>
      <w:r w:rsidR="005A759A" w:rsidRPr="00C238DB">
        <w:t>across the state</w:t>
      </w:r>
      <w:r w:rsidR="002A6A37" w:rsidRPr="00C238DB">
        <w:t xml:space="preserve"> </w:t>
      </w:r>
      <w:r w:rsidR="00587DCE" w:rsidRPr="00C238DB">
        <w:t xml:space="preserve">through </w:t>
      </w:r>
      <w:r w:rsidR="00374FC2">
        <w:t>PL</w:t>
      </w:r>
      <w:r w:rsidR="00587DCE" w:rsidRPr="00C238DB">
        <w:t xml:space="preserve"> opportunities </w:t>
      </w:r>
      <w:r w:rsidR="000F0350" w:rsidRPr="00C238DB">
        <w:t xml:space="preserve">focused on </w:t>
      </w:r>
      <w:r w:rsidR="00C238DB" w:rsidRPr="00C238DB">
        <w:t xml:space="preserve">reading instruction and intervention and executive functioning skills. </w:t>
      </w:r>
      <w:r w:rsidR="000F0350" w:rsidRPr="004C77BA">
        <w:t xml:space="preserve">The content for which the LEA provides training must be aligned to </w:t>
      </w:r>
      <w:r w:rsidR="00C238DB" w:rsidRPr="004C77BA">
        <w:t>the SLP</w:t>
      </w:r>
      <w:r w:rsidR="00374FC2" w:rsidRPr="00C702EC">
        <w:t xml:space="preserve">, </w:t>
      </w:r>
      <w:r w:rsidR="006E321D" w:rsidRPr="00C702EC">
        <w:t xml:space="preserve">the California CCSS for ELA/Literacy, </w:t>
      </w:r>
      <w:r w:rsidR="006E321D" w:rsidRPr="00C702EC">
        <w:rPr>
          <w:rFonts w:eastAsia="Times New Roman" w:cs="Arial"/>
          <w:color w:val="000000"/>
          <w:szCs w:val="24"/>
        </w:rPr>
        <w:t xml:space="preserve">the California ELD </w:t>
      </w:r>
      <w:r w:rsidR="00342AFF">
        <w:rPr>
          <w:rFonts w:eastAsia="Times New Roman" w:cs="Arial"/>
          <w:color w:val="000000"/>
          <w:szCs w:val="24"/>
        </w:rPr>
        <w:t>S</w:t>
      </w:r>
      <w:r w:rsidR="006E321D" w:rsidRPr="00C702EC">
        <w:rPr>
          <w:rFonts w:eastAsia="Times New Roman" w:cs="Arial"/>
          <w:color w:val="000000"/>
          <w:szCs w:val="24"/>
        </w:rPr>
        <w:t>tandards</w:t>
      </w:r>
      <w:r w:rsidR="00C702EC">
        <w:rPr>
          <w:rFonts w:eastAsia="Times New Roman" w:cs="Arial"/>
          <w:color w:val="000000"/>
          <w:szCs w:val="24"/>
        </w:rPr>
        <w:t xml:space="preserve">, </w:t>
      </w:r>
      <w:r w:rsidR="00E319EE" w:rsidRPr="004C77BA">
        <w:t xml:space="preserve">the ELA/ELD Framework, </w:t>
      </w:r>
      <w:r w:rsidR="000F0350" w:rsidRPr="004C77BA">
        <w:t>and the QPLS</w:t>
      </w:r>
      <w:r w:rsidR="00587DCE" w:rsidRPr="00C238DB">
        <w:t>.</w:t>
      </w:r>
      <w:r w:rsidR="00F30CC6" w:rsidRPr="00C238DB">
        <w:t xml:space="preserve"> </w:t>
      </w:r>
      <w:r w:rsidR="00FB6A4B">
        <w:t>The</w:t>
      </w:r>
      <w:r w:rsidR="00C238DB" w:rsidRPr="00C238DB">
        <w:t xml:space="preserve"> grantee will</w:t>
      </w:r>
      <w:r w:rsidR="00495B5F">
        <w:t xml:space="preserve"> disseminate</w:t>
      </w:r>
      <w:r w:rsidR="001943D1">
        <w:t xml:space="preserve"> PL opportunities that elicit change in classroom practice </w:t>
      </w:r>
      <w:r w:rsidR="006E321D">
        <w:t xml:space="preserve">to </w:t>
      </w:r>
      <w:r w:rsidR="001943D1">
        <w:t>improve literacy achievement</w:t>
      </w:r>
      <w:r w:rsidR="00DC546F">
        <w:t xml:space="preserve"> and student executive functioning skills</w:t>
      </w:r>
      <w:r w:rsidR="001943D1">
        <w:t>.</w:t>
      </w:r>
      <w:r w:rsidR="00374FC2">
        <w:rPr>
          <w:rFonts w:cs="Arial"/>
          <w:color w:val="000000"/>
        </w:rPr>
        <w:t xml:space="preserve"> </w:t>
      </w:r>
      <w:r w:rsidR="00935511">
        <w:rPr>
          <w:rFonts w:cs="Arial"/>
          <w:color w:val="000000"/>
        </w:rPr>
        <w:t xml:space="preserve">PL </w:t>
      </w:r>
      <w:r w:rsidR="00935511" w:rsidRPr="00DC6925">
        <w:rPr>
          <w:rFonts w:cs="Arial"/>
          <w:color w:val="000000"/>
        </w:rPr>
        <w:t xml:space="preserve">opportunities under the RII </w:t>
      </w:r>
      <w:r w:rsidR="00342AFF">
        <w:rPr>
          <w:rFonts w:cs="Arial"/>
          <w:color w:val="000000"/>
        </w:rPr>
        <w:t>G</w:t>
      </w:r>
      <w:r w:rsidR="00935511" w:rsidRPr="00DC6925">
        <w:rPr>
          <w:rFonts w:cs="Arial"/>
          <w:color w:val="000000"/>
        </w:rPr>
        <w:t>rant</w:t>
      </w:r>
      <w:r w:rsidR="00374FC2">
        <w:rPr>
          <w:rFonts w:cs="Arial"/>
          <w:color w:val="000000"/>
        </w:rPr>
        <w:t xml:space="preserve"> </w:t>
      </w:r>
      <w:r w:rsidR="00342AFF">
        <w:rPr>
          <w:rFonts w:cs="Arial"/>
          <w:color w:val="000000"/>
        </w:rPr>
        <w:t>P</w:t>
      </w:r>
      <w:r w:rsidR="00374FC2">
        <w:rPr>
          <w:rFonts w:cs="Arial"/>
          <w:color w:val="000000"/>
        </w:rPr>
        <w:t>rogram</w:t>
      </w:r>
      <w:r w:rsidR="00935511" w:rsidRPr="00DC6925">
        <w:rPr>
          <w:rFonts w:cs="Arial"/>
          <w:color w:val="000000"/>
        </w:rPr>
        <w:t xml:space="preserve"> may include, but are not limited to, </w:t>
      </w:r>
      <w:r w:rsidR="00935511" w:rsidRPr="00DC6925">
        <w:rPr>
          <w:rFonts w:cs="Arial"/>
          <w:color w:val="000000"/>
          <w:szCs w:val="24"/>
        </w:rPr>
        <w:t xml:space="preserve">all of the following: </w:t>
      </w:r>
    </w:p>
    <w:p w14:paraId="2212B941" w14:textId="77777777" w:rsidR="00935511" w:rsidRPr="00DC6925" w:rsidRDefault="00935511" w:rsidP="00050C24">
      <w:pPr>
        <w:widowControl w:val="0"/>
        <w:numPr>
          <w:ilvl w:val="0"/>
          <w:numId w:val="17"/>
        </w:numPr>
        <w:autoSpaceDE w:val="0"/>
        <w:autoSpaceDN w:val="0"/>
        <w:adjustRightInd w:val="0"/>
        <w:ind w:left="1440"/>
        <w:rPr>
          <w:rFonts w:cs="Arial"/>
          <w:color w:val="000000"/>
          <w:szCs w:val="24"/>
        </w:rPr>
      </w:pPr>
      <w:r w:rsidRPr="00DC6925">
        <w:rPr>
          <w:rFonts w:cs="Arial"/>
          <w:color w:val="000000"/>
          <w:szCs w:val="24"/>
        </w:rPr>
        <w:t>School leaders, including principals and teacher leaders, to lead evidence-based reading instruction for diverse learners, including early learners, English learner</w:t>
      </w:r>
      <w:r w:rsidR="00E55186">
        <w:rPr>
          <w:rFonts w:cs="Arial"/>
          <w:color w:val="000000"/>
          <w:szCs w:val="24"/>
        </w:rPr>
        <w:t xml:space="preserve"> (EL)</w:t>
      </w:r>
      <w:r>
        <w:rPr>
          <w:rFonts w:cs="Arial"/>
          <w:color w:val="000000"/>
          <w:szCs w:val="24"/>
        </w:rPr>
        <w:t xml:space="preserve"> students</w:t>
      </w:r>
      <w:r w:rsidRPr="00DC6925">
        <w:rPr>
          <w:rFonts w:cs="Arial"/>
          <w:color w:val="000000"/>
          <w:szCs w:val="24"/>
        </w:rPr>
        <w:t xml:space="preserve">, pupils with disabilities, and pupils with dyslexia. </w:t>
      </w:r>
    </w:p>
    <w:p w14:paraId="4359A766" w14:textId="77777777" w:rsidR="00935511" w:rsidRPr="00DC6925" w:rsidRDefault="00935511" w:rsidP="00050C24">
      <w:pPr>
        <w:widowControl w:val="0"/>
        <w:numPr>
          <w:ilvl w:val="0"/>
          <w:numId w:val="17"/>
        </w:numPr>
        <w:autoSpaceDE w:val="0"/>
        <w:autoSpaceDN w:val="0"/>
        <w:adjustRightInd w:val="0"/>
        <w:ind w:left="1440"/>
        <w:rPr>
          <w:rFonts w:cs="Arial"/>
          <w:color w:val="000000"/>
          <w:szCs w:val="24"/>
        </w:rPr>
      </w:pPr>
      <w:r w:rsidRPr="00DC6925">
        <w:rPr>
          <w:rFonts w:cs="Arial"/>
          <w:color w:val="000000"/>
          <w:szCs w:val="24"/>
        </w:rPr>
        <w:t>Educators, including teachers and paraprofessionals, to develop knowledge and skills for appropriate use of screening strategies and evidence-based literacy instruction</w:t>
      </w:r>
      <w:r w:rsidR="00F167B0">
        <w:rPr>
          <w:rFonts w:cs="Arial"/>
          <w:color w:val="000000"/>
          <w:szCs w:val="24"/>
        </w:rPr>
        <w:t xml:space="preserve">, </w:t>
      </w:r>
      <w:r w:rsidR="00F167B0">
        <w:rPr>
          <w:rFonts w:eastAsia="Times New Roman" w:cs="Arial"/>
          <w:color w:val="000000"/>
          <w:szCs w:val="24"/>
        </w:rPr>
        <w:t>including biliteracy instruction,</w:t>
      </w:r>
      <w:r w:rsidRPr="00DC6925">
        <w:rPr>
          <w:rFonts w:cs="Arial"/>
          <w:color w:val="000000"/>
          <w:szCs w:val="24"/>
        </w:rPr>
        <w:t xml:space="preserve"> for diverse learners. </w:t>
      </w:r>
    </w:p>
    <w:p w14:paraId="6177DFC3" w14:textId="77777777" w:rsidR="00935511" w:rsidRPr="00DC6925" w:rsidRDefault="00935511" w:rsidP="00050C24">
      <w:pPr>
        <w:widowControl w:val="0"/>
        <w:numPr>
          <w:ilvl w:val="0"/>
          <w:numId w:val="17"/>
        </w:numPr>
        <w:autoSpaceDE w:val="0"/>
        <w:autoSpaceDN w:val="0"/>
        <w:adjustRightInd w:val="0"/>
        <w:ind w:left="1440"/>
        <w:rPr>
          <w:rFonts w:cs="Arial"/>
          <w:color w:val="000000"/>
          <w:szCs w:val="24"/>
        </w:rPr>
      </w:pPr>
      <w:r w:rsidRPr="00DC6925">
        <w:rPr>
          <w:rFonts w:cs="Arial"/>
          <w:szCs w:val="24"/>
        </w:rPr>
        <w:lastRenderedPageBreak/>
        <w:t>Educators, including teachers and paraprofessionals, to implement intensive intervention strategies for pupils struggling with literacy, including tutoring and small group strategies, and strategies for target pupil groups.</w:t>
      </w:r>
    </w:p>
    <w:p w14:paraId="4ED02CFB" w14:textId="77777777" w:rsidR="00935511" w:rsidRPr="00DC6925" w:rsidRDefault="00935511" w:rsidP="00050C24">
      <w:pPr>
        <w:widowControl w:val="0"/>
        <w:numPr>
          <w:ilvl w:val="0"/>
          <w:numId w:val="17"/>
        </w:numPr>
        <w:autoSpaceDE w:val="0"/>
        <w:autoSpaceDN w:val="0"/>
        <w:adjustRightInd w:val="0"/>
        <w:ind w:left="1440"/>
        <w:rPr>
          <w:rFonts w:cs="Arial"/>
          <w:color w:val="000000"/>
          <w:szCs w:val="24"/>
        </w:rPr>
      </w:pPr>
      <w:r w:rsidRPr="00DC6925">
        <w:rPr>
          <w:rFonts w:cs="Arial"/>
          <w:color w:val="000000"/>
          <w:szCs w:val="24"/>
        </w:rPr>
        <w:t>All educators</w:t>
      </w:r>
      <w:r w:rsidRPr="002D0D3E">
        <w:rPr>
          <w:rFonts w:cs="Arial"/>
          <w:color w:val="000000"/>
          <w:szCs w:val="24"/>
        </w:rPr>
        <w:t xml:space="preserve">, including support staff, </w:t>
      </w:r>
      <w:r w:rsidRPr="00DC6925">
        <w:rPr>
          <w:rFonts w:cs="Arial"/>
          <w:color w:val="000000"/>
          <w:szCs w:val="24"/>
        </w:rPr>
        <w:t>to support the development of pupils’ executive functioning</w:t>
      </w:r>
      <w:r>
        <w:rPr>
          <w:rFonts w:cs="Arial"/>
          <w:color w:val="000000"/>
          <w:szCs w:val="24"/>
        </w:rPr>
        <w:t xml:space="preserve"> </w:t>
      </w:r>
      <w:r w:rsidRPr="00DC6925">
        <w:rPr>
          <w:rFonts w:cs="Arial"/>
          <w:color w:val="000000"/>
          <w:szCs w:val="24"/>
        </w:rPr>
        <w:t>skills</w:t>
      </w:r>
      <w:r>
        <w:rPr>
          <w:rFonts w:cs="Arial"/>
          <w:color w:val="000000"/>
          <w:szCs w:val="24"/>
        </w:rPr>
        <w:t xml:space="preserve">. </w:t>
      </w:r>
    </w:p>
    <w:p w14:paraId="235A7DAA" w14:textId="77777777" w:rsidR="008B5A9A" w:rsidRPr="00935511" w:rsidRDefault="008B5A9A" w:rsidP="008B5A9A">
      <w:pPr>
        <w:ind w:left="720"/>
      </w:pPr>
      <w:r w:rsidRPr="00935511">
        <w:t>P</w:t>
      </w:r>
      <w:r w:rsidR="00DC546F">
        <w:t xml:space="preserve">L </w:t>
      </w:r>
      <w:r w:rsidRPr="00935511">
        <w:t>opportunities must conform to the best evidence regarding effective learning for educators. This includes, but is not limited to, the QPLS and sample indicators</w:t>
      </w:r>
      <w:r w:rsidR="00DC546F">
        <w:t xml:space="preserve"> as</w:t>
      </w:r>
      <w:r w:rsidRPr="00935511">
        <w:t xml:space="preserve"> described in Table 1.</w:t>
      </w:r>
    </w:p>
    <w:p w14:paraId="6193AC7C" w14:textId="77777777" w:rsidR="00540C78" w:rsidRPr="00935511" w:rsidRDefault="00956496" w:rsidP="00E7436B">
      <w:pPr>
        <w:pStyle w:val="Heading4"/>
        <w:ind w:left="0"/>
      </w:pPr>
      <w:r w:rsidRPr="00935511">
        <w:t xml:space="preserve">Table 1. </w:t>
      </w:r>
      <w:r w:rsidR="00DC546F">
        <w:t>QPLS</w:t>
      </w:r>
      <w:r w:rsidRPr="00935511">
        <w:t xml:space="preserve"> and Sample Indicators</w:t>
      </w:r>
    </w:p>
    <w:tbl>
      <w:tblPr>
        <w:tblStyle w:val="GridTable41"/>
        <w:tblW w:w="9512" w:type="dxa"/>
        <w:tblLayout w:type="fixed"/>
        <w:tblLook w:val="0620" w:firstRow="1" w:lastRow="0" w:firstColumn="0" w:lastColumn="0" w:noHBand="1" w:noVBand="1"/>
        <w:tblDescription w:val="QPLS and Sample Indicators Table"/>
      </w:tblPr>
      <w:tblGrid>
        <w:gridCol w:w="2942"/>
        <w:gridCol w:w="6570"/>
      </w:tblGrid>
      <w:tr w:rsidR="006B1119" w:rsidRPr="006B1119" w14:paraId="026B1726" w14:textId="77777777" w:rsidTr="006B1119">
        <w:trPr>
          <w:cnfStyle w:val="100000000000" w:firstRow="1" w:lastRow="0" w:firstColumn="0" w:lastColumn="0" w:oddVBand="0" w:evenVBand="0" w:oddHBand="0" w:evenHBand="0" w:firstRowFirstColumn="0" w:firstRowLastColumn="0" w:lastRowFirstColumn="0" w:lastRowLastColumn="0"/>
          <w:cantSplit/>
          <w:tblHeader/>
        </w:trPr>
        <w:tc>
          <w:tcPr>
            <w:tcW w:w="2942" w:type="dxa"/>
            <w:shd w:val="clear" w:color="auto" w:fill="D9D9D9" w:themeFill="background1" w:themeFillShade="D9"/>
          </w:tcPr>
          <w:p w14:paraId="794D070E" w14:textId="77777777" w:rsidR="00956496" w:rsidRPr="006B1119" w:rsidRDefault="0094302D" w:rsidP="00A05C89">
            <w:pPr>
              <w:spacing w:before="120" w:after="120"/>
              <w:jc w:val="center"/>
              <w:rPr>
                <w:b w:val="0"/>
                <w:color w:val="auto"/>
              </w:rPr>
            </w:pPr>
            <w:r w:rsidRPr="006B1119">
              <w:rPr>
                <w:color w:val="auto"/>
              </w:rPr>
              <w:t>Standard</w:t>
            </w:r>
          </w:p>
        </w:tc>
        <w:tc>
          <w:tcPr>
            <w:tcW w:w="6570" w:type="dxa"/>
            <w:shd w:val="clear" w:color="auto" w:fill="D9D9D9" w:themeFill="background1" w:themeFillShade="D9"/>
          </w:tcPr>
          <w:p w14:paraId="1B14A783" w14:textId="77777777" w:rsidR="00956496" w:rsidRPr="006B1119" w:rsidRDefault="0094302D" w:rsidP="00A05C89">
            <w:pPr>
              <w:spacing w:before="120" w:after="120"/>
              <w:jc w:val="center"/>
              <w:rPr>
                <w:b w:val="0"/>
                <w:color w:val="auto"/>
              </w:rPr>
            </w:pPr>
            <w:r w:rsidRPr="006B1119">
              <w:rPr>
                <w:color w:val="auto"/>
              </w:rPr>
              <w:t>Sample Indicators</w:t>
            </w:r>
          </w:p>
        </w:tc>
      </w:tr>
      <w:tr w:rsidR="00956496" w:rsidRPr="005E5E01" w14:paraId="647EFC5C" w14:textId="77777777" w:rsidTr="006B1119">
        <w:trPr>
          <w:cantSplit/>
        </w:trPr>
        <w:tc>
          <w:tcPr>
            <w:tcW w:w="2942" w:type="dxa"/>
          </w:tcPr>
          <w:p w14:paraId="6163B603" w14:textId="77777777" w:rsidR="00956496" w:rsidRPr="00935511" w:rsidRDefault="0094302D" w:rsidP="00A05C89">
            <w:pPr>
              <w:spacing w:before="120" w:after="120"/>
            </w:pPr>
            <w:r w:rsidRPr="00935511">
              <w:rPr>
                <w:b/>
              </w:rPr>
              <w:t>Data:</w:t>
            </w:r>
            <w:r w:rsidRPr="00935511">
              <w:t xml:space="preserve"> Uses varied sources and kinds of information to guide priorities, design, and assessment</w:t>
            </w:r>
          </w:p>
        </w:tc>
        <w:tc>
          <w:tcPr>
            <w:tcW w:w="6570" w:type="dxa"/>
          </w:tcPr>
          <w:p w14:paraId="494A8D8C" w14:textId="77777777" w:rsidR="00956496" w:rsidRPr="00935511" w:rsidRDefault="0094302D" w:rsidP="00F93018">
            <w:pPr>
              <w:pStyle w:val="ListParagraph"/>
              <w:numPr>
                <w:ilvl w:val="0"/>
                <w:numId w:val="3"/>
              </w:numPr>
              <w:spacing w:before="120"/>
              <w:ind w:left="360"/>
            </w:pPr>
            <w:r w:rsidRPr="00935511">
              <w:t>Uses formative and summative student achievement data, disaggregated by race, gender, English language learner status, special needs, foster youth, and/or socio-economic status, to identify critical student needs that require improved instruction, support</w:t>
            </w:r>
            <w:r w:rsidR="002C69E7" w:rsidRPr="00935511">
              <w:t>,</w:t>
            </w:r>
            <w:r w:rsidRPr="00935511">
              <w:t xml:space="preserve"> and leadership</w:t>
            </w:r>
          </w:p>
          <w:p w14:paraId="4C251963" w14:textId="77777777" w:rsidR="0094302D" w:rsidRPr="00935511" w:rsidRDefault="0094302D" w:rsidP="00F93018">
            <w:pPr>
              <w:pStyle w:val="ListParagraph"/>
              <w:numPr>
                <w:ilvl w:val="0"/>
                <w:numId w:val="3"/>
              </w:numPr>
              <w:spacing w:before="120"/>
              <w:ind w:left="360"/>
            </w:pPr>
            <w:r w:rsidRPr="00935511">
              <w:t>Develops educators’ ability to meet students’ academic, cultural, social, physical, and emotional needs</w:t>
            </w:r>
          </w:p>
          <w:p w14:paraId="464BC986" w14:textId="77777777" w:rsidR="0094302D" w:rsidRPr="00935511" w:rsidRDefault="00425714" w:rsidP="00F93018">
            <w:pPr>
              <w:pStyle w:val="ListParagraph"/>
              <w:numPr>
                <w:ilvl w:val="0"/>
                <w:numId w:val="3"/>
              </w:numPr>
              <w:spacing w:before="120" w:after="120"/>
              <w:ind w:left="360"/>
            </w:pPr>
            <w:r w:rsidRPr="00935511">
              <w:t>Collects and reviews evidence of changes and/or improvements in collective practice</w:t>
            </w:r>
          </w:p>
        </w:tc>
      </w:tr>
      <w:tr w:rsidR="00956496" w:rsidRPr="005E5E01" w14:paraId="7BAE5C69" w14:textId="77777777" w:rsidTr="006B1119">
        <w:trPr>
          <w:cantSplit/>
        </w:trPr>
        <w:tc>
          <w:tcPr>
            <w:tcW w:w="2942" w:type="dxa"/>
          </w:tcPr>
          <w:p w14:paraId="76A437BA" w14:textId="77777777" w:rsidR="00956496" w:rsidRPr="00935511" w:rsidRDefault="00447257" w:rsidP="00A05C89">
            <w:pPr>
              <w:spacing w:before="120" w:after="120"/>
            </w:pPr>
            <w:r w:rsidRPr="00935511">
              <w:rPr>
                <w:b/>
              </w:rPr>
              <w:lastRenderedPageBreak/>
              <w:t>Content and Pedagogy:</w:t>
            </w:r>
            <w:r w:rsidRPr="00935511">
              <w:t xml:space="preserve"> Enhances educators’ expertise to increase students’ capacity to learn and thrive</w:t>
            </w:r>
          </w:p>
        </w:tc>
        <w:tc>
          <w:tcPr>
            <w:tcW w:w="6570" w:type="dxa"/>
          </w:tcPr>
          <w:p w14:paraId="14FAC067" w14:textId="77777777" w:rsidR="00447257" w:rsidRPr="00935511" w:rsidRDefault="00447257" w:rsidP="00F93018">
            <w:pPr>
              <w:pStyle w:val="ListParagraph"/>
              <w:numPr>
                <w:ilvl w:val="0"/>
                <w:numId w:val="3"/>
              </w:numPr>
              <w:spacing w:before="120"/>
              <w:ind w:left="360"/>
            </w:pPr>
            <w:r w:rsidRPr="00935511">
              <w:t>Focuses on specific teaching strategies associated with discipline-specific curriculum content that supports teacher learning within the teachers’ classroom contexts</w:t>
            </w:r>
          </w:p>
          <w:p w14:paraId="72B3DD32" w14:textId="77777777" w:rsidR="00447257" w:rsidRPr="00935511" w:rsidRDefault="00447257" w:rsidP="00F93018">
            <w:pPr>
              <w:pStyle w:val="ListParagraph"/>
              <w:numPr>
                <w:ilvl w:val="0"/>
                <w:numId w:val="3"/>
              </w:numPr>
              <w:spacing w:before="120"/>
              <w:ind w:left="360"/>
            </w:pPr>
            <w:r w:rsidRPr="00935511">
              <w:t>Deepens and extends subject-matter knowledge within educators’ own discipline and across other disciplines</w:t>
            </w:r>
          </w:p>
          <w:p w14:paraId="7939C6B0" w14:textId="77777777" w:rsidR="00447257" w:rsidRPr="00935511" w:rsidRDefault="00447257" w:rsidP="00F93018">
            <w:pPr>
              <w:pStyle w:val="ListParagraph"/>
              <w:numPr>
                <w:ilvl w:val="0"/>
                <w:numId w:val="3"/>
              </w:numPr>
              <w:spacing w:before="120"/>
              <w:ind w:left="360"/>
            </w:pPr>
            <w:r w:rsidRPr="00935511">
              <w:t>Increases educators’ use of linguistically and culturally responsive materials</w:t>
            </w:r>
          </w:p>
          <w:p w14:paraId="38885423" w14:textId="77777777" w:rsidR="00447257" w:rsidRPr="00935511" w:rsidRDefault="00447257" w:rsidP="00F93018">
            <w:pPr>
              <w:pStyle w:val="ListParagraph"/>
              <w:numPr>
                <w:ilvl w:val="0"/>
                <w:numId w:val="3"/>
              </w:numPr>
              <w:spacing w:before="120"/>
              <w:ind w:left="360"/>
            </w:pPr>
            <w:r w:rsidRPr="00935511">
              <w:t>Creates multiple opportunities, in different settings, including built-in time for educators to practice, to receive feedback, and to revise their practice by the facilitation of reflection and solicitation of feedback</w:t>
            </w:r>
          </w:p>
          <w:p w14:paraId="6110827A" w14:textId="77777777" w:rsidR="00447257" w:rsidRPr="00935511" w:rsidRDefault="00447257" w:rsidP="00F93018">
            <w:pPr>
              <w:pStyle w:val="ListParagraph"/>
              <w:numPr>
                <w:ilvl w:val="0"/>
                <w:numId w:val="3"/>
              </w:numPr>
              <w:spacing w:before="120"/>
              <w:ind w:left="360"/>
            </w:pPr>
            <w:r w:rsidRPr="00935511">
              <w:t>Uses instructional techniques and strategies, such as using authentic artifacts and interactive activities, that educators then use with students</w:t>
            </w:r>
          </w:p>
          <w:p w14:paraId="516A7243" w14:textId="77777777" w:rsidR="00956496" w:rsidRPr="00935511" w:rsidRDefault="00447257" w:rsidP="00F93018">
            <w:pPr>
              <w:pStyle w:val="ListParagraph"/>
              <w:numPr>
                <w:ilvl w:val="0"/>
                <w:numId w:val="3"/>
              </w:numPr>
              <w:spacing w:before="120" w:after="120"/>
              <w:ind w:left="360"/>
            </w:pPr>
            <w:r w:rsidRPr="00935511">
              <w:t>Develops knowledge of, and skills for, how to address students’ academic, cultural, social, physical, and emotional well-being</w:t>
            </w:r>
          </w:p>
        </w:tc>
      </w:tr>
      <w:tr w:rsidR="00956496" w:rsidRPr="005E5E01" w14:paraId="5A942FDB" w14:textId="77777777" w:rsidTr="006B1119">
        <w:trPr>
          <w:cantSplit/>
        </w:trPr>
        <w:tc>
          <w:tcPr>
            <w:tcW w:w="2942" w:type="dxa"/>
          </w:tcPr>
          <w:p w14:paraId="6B1C33CF" w14:textId="77777777" w:rsidR="00956496" w:rsidRPr="00935511" w:rsidRDefault="006A636A" w:rsidP="00A05C89">
            <w:pPr>
              <w:spacing w:before="120" w:after="120"/>
            </w:pPr>
            <w:r w:rsidRPr="00935511">
              <w:rPr>
                <w:b/>
              </w:rPr>
              <w:t>Equity:</w:t>
            </w:r>
            <w:r w:rsidRPr="00935511">
              <w:t xml:space="preserve"> Focuses on equitable access, opportunities, and outcomes for all students, with an emphasis on addressing achievement and opportunity disparities between student groups</w:t>
            </w:r>
          </w:p>
        </w:tc>
        <w:tc>
          <w:tcPr>
            <w:tcW w:w="6570" w:type="dxa"/>
          </w:tcPr>
          <w:p w14:paraId="33FC7C38" w14:textId="77777777" w:rsidR="006A636A" w:rsidRPr="00935511" w:rsidRDefault="006A636A" w:rsidP="00F93018">
            <w:pPr>
              <w:pStyle w:val="ListParagraph"/>
              <w:numPr>
                <w:ilvl w:val="0"/>
                <w:numId w:val="3"/>
              </w:numPr>
              <w:spacing w:before="120" w:after="120"/>
              <w:ind w:left="360"/>
            </w:pPr>
            <w:r w:rsidRPr="00935511">
              <w:t>Helps educators develop and understand that building on students’ abilities, perspectives, and potential contributes to increased student learning</w:t>
            </w:r>
          </w:p>
          <w:p w14:paraId="78363919" w14:textId="77777777" w:rsidR="006A636A" w:rsidRPr="00935511" w:rsidRDefault="006A636A" w:rsidP="00F93018">
            <w:pPr>
              <w:pStyle w:val="ListParagraph"/>
              <w:numPr>
                <w:ilvl w:val="0"/>
                <w:numId w:val="3"/>
              </w:numPr>
              <w:spacing w:before="120"/>
              <w:ind w:left="360"/>
            </w:pPr>
            <w:r w:rsidRPr="00935511">
              <w:t xml:space="preserve">Ensures that all educators have equitable access to effective </w:t>
            </w:r>
            <w:r w:rsidR="000B0ACF">
              <w:t>PL</w:t>
            </w:r>
            <w:r w:rsidRPr="00935511">
              <w:t xml:space="preserve"> learning and support</w:t>
            </w:r>
          </w:p>
          <w:p w14:paraId="53395C3B" w14:textId="77777777" w:rsidR="00956496" w:rsidRPr="00935511" w:rsidRDefault="006A636A" w:rsidP="00F93018">
            <w:pPr>
              <w:pStyle w:val="ListParagraph"/>
              <w:numPr>
                <w:ilvl w:val="0"/>
                <w:numId w:val="3"/>
              </w:numPr>
              <w:spacing w:before="120" w:after="120"/>
              <w:ind w:left="360"/>
            </w:pPr>
            <w:r w:rsidRPr="00935511">
              <w:t>Supports educators to build trusting relationships with students, their families, communities, and one another; provide messages of high expectations; and create opportunities for meaningful participation</w:t>
            </w:r>
          </w:p>
        </w:tc>
      </w:tr>
      <w:tr w:rsidR="00956496" w:rsidRPr="005E5E01" w14:paraId="5011C00E" w14:textId="77777777" w:rsidTr="006B1119">
        <w:trPr>
          <w:cantSplit/>
        </w:trPr>
        <w:tc>
          <w:tcPr>
            <w:tcW w:w="2942" w:type="dxa"/>
          </w:tcPr>
          <w:p w14:paraId="01FCB808" w14:textId="77777777" w:rsidR="00956496" w:rsidRPr="00935511" w:rsidRDefault="006A636A" w:rsidP="00057EE0">
            <w:pPr>
              <w:spacing w:before="120" w:after="120"/>
            </w:pPr>
            <w:r w:rsidRPr="00935511">
              <w:rPr>
                <w:b/>
              </w:rPr>
              <w:lastRenderedPageBreak/>
              <w:t>Design and Structure:</w:t>
            </w:r>
            <w:r w:rsidRPr="00935511">
              <w:t xml:space="preserve"> Reflects evidence-based approaches, recognizing that focused, sustained learning enables educators to acquire, implement, and assess improved practices</w:t>
            </w:r>
          </w:p>
        </w:tc>
        <w:tc>
          <w:tcPr>
            <w:tcW w:w="6570" w:type="dxa"/>
          </w:tcPr>
          <w:p w14:paraId="572CCBB8" w14:textId="77777777" w:rsidR="006A636A" w:rsidRPr="00935511" w:rsidRDefault="006A636A" w:rsidP="00F93018">
            <w:pPr>
              <w:pStyle w:val="ListParagraph"/>
              <w:numPr>
                <w:ilvl w:val="0"/>
                <w:numId w:val="3"/>
              </w:numPr>
              <w:spacing w:before="120"/>
              <w:ind w:left="360"/>
            </w:pPr>
            <w:r w:rsidRPr="00935511">
              <w:t>Provides educators with dedicated time within the school schedule and leverages extended-time opportunities to learn, practice, implement, assess, and reflect upon new strategies that facilitate changes in their practice</w:t>
            </w:r>
          </w:p>
          <w:p w14:paraId="6C903041" w14:textId="77777777" w:rsidR="006A636A" w:rsidRPr="00935511" w:rsidRDefault="006A636A" w:rsidP="00F93018">
            <w:pPr>
              <w:pStyle w:val="ListParagraph"/>
              <w:numPr>
                <w:ilvl w:val="0"/>
                <w:numId w:val="3"/>
              </w:numPr>
              <w:spacing w:before="120"/>
              <w:ind w:left="360"/>
            </w:pPr>
            <w:r w:rsidRPr="00935511">
              <w:t>Uses curriculum models, such as lesson plans; unit plans; sample student work; observations of peer teachers; and video or written cases of teaching, that provides teachers with a clear vision of effective practices</w:t>
            </w:r>
          </w:p>
          <w:p w14:paraId="7298195B" w14:textId="77777777" w:rsidR="00956496" w:rsidRPr="00935511" w:rsidRDefault="006A636A" w:rsidP="00F93018">
            <w:pPr>
              <w:pStyle w:val="ListParagraph"/>
              <w:numPr>
                <w:ilvl w:val="0"/>
                <w:numId w:val="3"/>
              </w:numPr>
              <w:spacing w:before="120" w:after="120"/>
              <w:ind w:left="360"/>
            </w:pPr>
            <w:r w:rsidRPr="00935511">
              <w:t>Actively engages educators in inquiry centered on authentic problems and instructional practices designed to be job-embedded and situated in as realistic as possible work setting of the learner so that theoretical learning and its practical applications are directly linked</w:t>
            </w:r>
          </w:p>
        </w:tc>
      </w:tr>
      <w:tr w:rsidR="00956496" w:rsidRPr="005E5E01" w14:paraId="3933F80F" w14:textId="77777777" w:rsidTr="006B1119">
        <w:trPr>
          <w:cantSplit/>
        </w:trPr>
        <w:tc>
          <w:tcPr>
            <w:tcW w:w="2942" w:type="dxa"/>
          </w:tcPr>
          <w:p w14:paraId="5401A6A3" w14:textId="77777777" w:rsidR="00956496" w:rsidRPr="00935511" w:rsidRDefault="006A636A" w:rsidP="00057EE0">
            <w:pPr>
              <w:spacing w:before="120" w:after="120"/>
            </w:pPr>
            <w:r w:rsidRPr="00935511">
              <w:rPr>
                <w:b/>
              </w:rPr>
              <w:t xml:space="preserve">Collaboration and Shared Accountability: </w:t>
            </w:r>
            <w:r w:rsidRPr="00935511">
              <w:t>Facilitates the development of a shared purpose for student learning and collective responsibility for achieving it</w:t>
            </w:r>
          </w:p>
        </w:tc>
        <w:tc>
          <w:tcPr>
            <w:tcW w:w="6570" w:type="dxa"/>
          </w:tcPr>
          <w:p w14:paraId="5E6294FA" w14:textId="77777777" w:rsidR="006A636A" w:rsidRPr="00935511" w:rsidRDefault="006A636A" w:rsidP="00F93018">
            <w:pPr>
              <w:pStyle w:val="ListParagraph"/>
              <w:numPr>
                <w:ilvl w:val="0"/>
                <w:numId w:val="3"/>
              </w:numPr>
              <w:spacing w:before="120"/>
              <w:ind w:left="360"/>
            </w:pPr>
            <w:r w:rsidRPr="00935511">
              <w:t>Ensures that educators interact with content and are provided space to share ideas and collaborate in the learning, often job-embedded contexts, to create communities that positively change the culture and instruction of their entire grade level, department, school, and/or district</w:t>
            </w:r>
          </w:p>
          <w:p w14:paraId="06FA2BE4" w14:textId="77777777" w:rsidR="006A636A" w:rsidRPr="00935511" w:rsidRDefault="006A636A" w:rsidP="00F93018">
            <w:pPr>
              <w:pStyle w:val="ListParagraph"/>
              <w:numPr>
                <w:ilvl w:val="0"/>
                <w:numId w:val="3"/>
              </w:numPr>
              <w:spacing w:before="120"/>
              <w:ind w:left="360"/>
            </w:pPr>
            <w:r w:rsidRPr="00935511">
              <w:t>Sets clear purposes, goals, and working agreements that support the sharing of practices and results within a safe and supportive environment</w:t>
            </w:r>
          </w:p>
          <w:p w14:paraId="467280FA" w14:textId="77777777" w:rsidR="006A636A" w:rsidRPr="00935511" w:rsidRDefault="006A636A" w:rsidP="00F93018">
            <w:pPr>
              <w:pStyle w:val="ListParagraph"/>
              <w:numPr>
                <w:ilvl w:val="0"/>
                <w:numId w:val="3"/>
              </w:numPr>
              <w:spacing w:before="120"/>
              <w:ind w:left="360"/>
            </w:pPr>
            <w:r w:rsidRPr="00935511">
              <w:t>Structures collective learning around an evidence-based cycle of continuous learning and improvement, maintaining a consistent focus on shared goals</w:t>
            </w:r>
          </w:p>
          <w:p w14:paraId="31CAC4AC" w14:textId="77777777" w:rsidR="006A636A" w:rsidRPr="00935511" w:rsidRDefault="006A636A" w:rsidP="00F93018">
            <w:pPr>
              <w:pStyle w:val="ListParagraph"/>
              <w:numPr>
                <w:ilvl w:val="0"/>
                <w:numId w:val="3"/>
              </w:numPr>
              <w:spacing w:before="120"/>
              <w:ind w:left="360"/>
            </w:pPr>
            <w:r w:rsidRPr="00935511">
              <w:t>Capitalizes on relationships with networks that have specialized expertise or resources, in order to extend educators’ access to resources not available locally</w:t>
            </w:r>
          </w:p>
          <w:p w14:paraId="4AE7C9C2" w14:textId="77777777" w:rsidR="00956496" w:rsidRPr="00935511" w:rsidRDefault="006A636A" w:rsidP="00F93018">
            <w:pPr>
              <w:pStyle w:val="ListParagraph"/>
              <w:numPr>
                <w:ilvl w:val="0"/>
                <w:numId w:val="3"/>
              </w:numPr>
              <w:spacing w:before="120" w:after="120"/>
              <w:ind w:left="360"/>
            </w:pPr>
            <w:r w:rsidRPr="00935511">
              <w:t>Uses technology to support cross-community communication and extend educators’ access to learning and resources</w:t>
            </w:r>
          </w:p>
        </w:tc>
      </w:tr>
      <w:tr w:rsidR="00956496" w:rsidRPr="005E5E01" w14:paraId="69F243B0" w14:textId="77777777" w:rsidTr="006B1119">
        <w:trPr>
          <w:cantSplit/>
        </w:trPr>
        <w:tc>
          <w:tcPr>
            <w:tcW w:w="2942" w:type="dxa"/>
          </w:tcPr>
          <w:p w14:paraId="19C03676" w14:textId="77777777" w:rsidR="00956496" w:rsidRPr="00935511" w:rsidRDefault="006A636A" w:rsidP="002C69E7">
            <w:pPr>
              <w:spacing w:before="120" w:after="120"/>
            </w:pPr>
            <w:r w:rsidRPr="00935511">
              <w:rPr>
                <w:b/>
              </w:rPr>
              <w:lastRenderedPageBreak/>
              <w:t>Resources:</w:t>
            </w:r>
            <w:r w:rsidRPr="00935511">
              <w:t xml:space="preserve"> Dedicates resources that are adequate, accessible, and allocated appropriately toward established priorities and outcomes</w:t>
            </w:r>
          </w:p>
        </w:tc>
        <w:tc>
          <w:tcPr>
            <w:tcW w:w="6570" w:type="dxa"/>
          </w:tcPr>
          <w:p w14:paraId="7DF60CA1" w14:textId="77777777" w:rsidR="006A636A" w:rsidRPr="00935511" w:rsidRDefault="006A636A" w:rsidP="00F93018">
            <w:pPr>
              <w:pStyle w:val="ListParagraph"/>
              <w:numPr>
                <w:ilvl w:val="0"/>
                <w:numId w:val="3"/>
              </w:numPr>
              <w:spacing w:before="120"/>
              <w:ind w:left="360"/>
            </w:pPr>
            <w:r w:rsidRPr="00935511">
              <w:t xml:space="preserve">Recognizes the leadership capacity of internal staff to present, facilitate, or coach targeted </w:t>
            </w:r>
            <w:r w:rsidR="00057EE0">
              <w:t>PL</w:t>
            </w:r>
          </w:p>
          <w:p w14:paraId="634F6C6E" w14:textId="77777777" w:rsidR="006A636A" w:rsidRPr="00935511" w:rsidRDefault="006A636A" w:rsidP="00F93018">
            <w:pPr>
              <w:pStyle w:val="ListParagraph"/>
              <w:numPr>
                <w:ilvl w:val="0"/>
                <w:numId w:val="3"/>
              </w:numPr>
              <w:spacing w:before="120"/>
              <w:ind w:left="360"/>
            </w:pPr>
            <w:r w:rsidRPr="00935511">
              <w:t>Capitalizes on flexible staffing arrangements that allow for peer-to-peer learning</w:t>
            </w:r>
          </w:p>
          <w:p w14:paraId="78FFA02F" w14:textId="77777777" w:rsidR="006A636A" w:rsidRPr="00935511" w:rsidRDefault="006A636A" w:rsidP="00F93018">
            <w:pPr>
              <w:pStyle w:val="ListParagraph"/>
              <w:numPr>
                <w:ilvl w:val="0"/>
                <w:numId w:val="3"/>
              </w:numPr>
              <w:spacing w:before="120"/>
              <w:ind w:left="360"/>
            </w:pPr>
            <w:r w:rsidRPr="00935511">
              <w:t>Requires time for collaboration and learning is made available in an ongoing and systematic way</w:t>
            </w:r>
          </w:p>
          <w:p w14:paraId="01B11E51" w14:textId="77777777" w:rsidR="006A636A" w:rsidRPr="00935511" w:rsidRDefault="006A636A" w:rsidP="00F93018">
            <w:pPr>
              <w:pStyle w:val="ListParagraph"/>
              <w:numPr>
                <w:ilvl w:val="0"/>
                <w:numId w:val="3"/>
              </w:numPr>
              <w:spacing w:before="120"/>
              <w:ind w:left="360"/>
            </w:pPr>
            <w:r w:rsidRPr="00935511">
              <w:t>Develops a cycle of activities, including theory, demonstration, practice, feedback, reflection, and coaching, that are spaced over time</w:t>
            </w:r>
          </w:p>
          <w:p w14:paraId="02E4CAFE" w14:textId="77777777" w:rsidR="006A636A" w:rsidRPr="00935511" w:rsidRDefault="006A636A" w:rsidP="00F93018">
            <w:pPr>
              <w:pStyle w:val="ListParagraph"/>
              <w:numPr>
                <w:ilvl w:val="0"/>
                <w:numId w:val="3"/>
              </w:numPr>
              <w:spacing w:before="120"/>
              <w:ind w:left="360"/>
            </w:pPr>
            <w:r w:rsidRPr="00935511">
              <w:t>Uses time within the school day for practice-embedded learning, but also provides release time when needed</w:t>
            </w:r>
          </w:p>
          <w:p w14:paraId="1E4C2348" w14:textId="77777777" w:rsidR="00956496" w:rsidRPr="00935511" w:rsidRDefault="006A636A" w:rsidP="00F93018">
            <w:pPr>
              <w:pStyle w:val="ListParagraph"/>
              <w:numPr>
                <w:ilvl w:val="0"/>
                <w:numId w:val="3"/>
              </w:numPr>
              <w:spacing w:before="120" w:after="120"/>
              <w:ind w:left="360"/>
            </w:pPr>
            <w:r w:rsidRPr="00935511">
              <w:t>Provides technology (hardware, software, and web-based) to enable educator learning, practice, and use of equipment and materials</w:t>
            </w:r>
          </w:p>
        </w:tc>
      </w:tr>
      <w:tr w:rsidR="006A636A" w:rsidRPr="005E5E01" w14:paraId="47994346" w14:textId="77777777" w:rsidTr="006B1119">
        <w:trPr>
          <w:cantSplit/>
        </w:trPr>
        <w:tc>
          <w:tcPr>
            <w:tcW w:w="2942" w:type="dxa"/>
          </w:tcPr>
          <w:p w14:paraId="0E1B9487" w14:textId="77777777" w:rsidR="006A636A" w:rsidRPr="00935511" w:rsidRDefault="006A636A" w:rsidP="006176A9">
            <w:pPr>
              <w:spacing w:before="120" w:after="120"/>
            </w:pPr>
            <w:r w:rsidRPr="00935511">
              <w:rPr>
                <w:b/>
              </w:rPr>
              <w:t>Alignment and Coherence:</w:t>
            </w:r>
            <w:r w:rsidRPr="00935511">
              <w:t xml:space="preserve"> Contributes to a coherent system of educator learning and support that connects district and school priorities and needs with state and federal requirements and resources</w:t>
            </w:r>
          </w:p>
        </w:tc>
        <w:tc>
          <w:tcPr>
            <w:tcW w:w="6570" w:type="dxa"/>
          </w:tcPr>
          <w:p w14:paraId="531DAD7F" w14:textId="77777777" w:rsidR="006A636A" w:rsidRPr="00935511" w:rsidRDefault="006A636A" w:rsidP="00F93018">
            <w:pPr>
              <w:pStyle w:val="ListParagraph"/>
              <w:numPr>
                <w:ilvl w:val="0"/>
                <w:numId w:val="3"/>
              </w:numPr>
              <w:spacing w:before="120"/>
              <w:ind w:left="360"/>
            </w:pPr>
            <w:r w:rsidRPr="00935511">
              <w:t>Offers learning and practice activities that are directed toward meeting educators’ professional and performance standards</w:t>
            </w:r>
          </w:p>
          <w:p w14:paraId="3495D2A7" w14:textId="77777777" w:rsidR="006A636A" w:rsidRPr="00935511" w:rsidRDefault="006A636A" w:rsidP="00F93018">
            <w:pPr>
              <w:pStyle w:val="ListParagraph"/>
              <w:numPr>
                <w:ilvl w:val="0"/>
                <w:numId w:val="3"/>
              </w:numPr>
              <w:spacing w:before="120"/>
              <w:ind w:left="360"/>
            </w:pPr>
            <w:r w:rsidRPr="00935511">
              <w:t>Reflects classroom, school, and district goals for students and educator growth, to which policies, structures, and practices are aligned</w:t>
            </w:r>
          </w:p>
          <w:p w14:paraId="72BF319F" w14:textId="77777777" w:rsidR="006A636A" w:rsidRPr="00935511" w:rsidRDefault="006A636A" w:rsidP="00F93018">
            <w:pPr>
              <w:pStyle w:val="ListParagraph"/>
              <w:numPr>
                <w:ilvl w:val="0"/>
                <w:numId w:val="3"/>
              </w:numPr>
              <w:spacing w:before="120"/>
              <w:ind w:left="360"/>
            </w:pPr>
            <w:r w:rsidRPr="00935511">
              <w:t>Supports novice educators’ induction and their ability to apply theoretical learning to real-world assignments and reflect upon results and next steps</w:t>
            </w:r>
          </w:p>
          <w:p w14:paraId="2BDFA29D" w14:textId="77777777" w:rsidR="006A636A" w:rsidRPr="00935511" w:rsidRDefault="006A636A" w:rsidP="00F93018">
            <w:pPr>
              <w:pStyle w:val="ListParagraph"/>
              <w:numPr>
                <w:ilvl w:val="0"/>
                <w:numId w:val="3"/>
              </w:numPr>
              <w:spacing w:before="120" w:after="120"/>
              <w:ind w:left="360"/>
            </w:pPr>
            <w:r w:rsidRPr="00935511">
              <w:t>Continuously extends experienced educators’ capacity to meet professional expectations and to meet the needs of all students through a coordinated system</w:t>
            </w:r>
          </w:p>
          <w:p w14:paraId="3D6E32A2" w14:textId="77777777" w:rsidR="006A636A" w:rsidRPr="00935511" w:rsidRDefault="006A636A" w:rsidP="00F93018">
            <w:pPr>
              <w:pStyle w:val="ListParagraph"/>
              <w:numPr>
                <w:ilvl w:val="0"/>
                <w:numId w:val="3"/>
              </w:numPr>
              <w:spacing w:before="120" w:after="120"/>
              <w:ind w:left="360"/>
            </w:pPr>
            <w:r w:rsidRPr="00935511">
              <w:t>Enables skilled veteran educators to assist novice educators and peers and to lead schoolwide and districtwide initiatives</w:t>
            </w:r>
          </w:p>
        </w:tc>
      </w:tr>
    </w:tbl>
    <w:p w14:paraId="5DB6A6C6" w14:textId="77777777" w:rsidR="00956496" w:rsidRPr="00935511" w:rsidRDefault="00956496" w:rsidP="006176A9">
      <w:pPr>
        <w:spacing w:after="480"/>
      </w:pPr>
      <w:r w:rsidRPr="00935511">
        <w:rPr>
          <w:b/>
        </w:rPr>
        <w:t>Source:</w:t>
      </w:r>
      <w:r w:rsidRPr="00935511">
        <w:t xml:space="preserve"> </w:t>
      </w:r>
      <w:r w:rsidR="00DC546F">
        <w:t>CDE</w:t>
      </w:r>
      <w:r w:rsidR="00200A9D" w:rsidRPr="00935511">
        <w:t>.</w:t>
      </w:r>
      <w:r w:rsidRPr="00935511">
        <w:t xml:space="preserve"> 2015</w:t>
      </w:r>
      <w:r w:rsidR="00200A9D" w:rsidRPr="00935511">
        <w:t xml:space="preserve">. Adapted from the </w:t>
      </w:r>
      <w:r w:rsidR="00DC546F" w:rsidRPr="004D3DDA">
        <w:t>QPLS</w:t>
      </w:r>
      <w:r w:rsidR="00C01F3F" w:rsidRPr="00935511">
        <w:rPr>
          <w:i/>
        </w:rPr>
        <w:t>.</w:t>
      </w:r>
    </w:p>
    <w:p w14:paraId="4328EBAC" w14:textId="77777777" w:rsidR="0079586F" w:rsidRPr="00BB29E9" w:rsidRDefault="0079586F" w:rsidP="00DC2051">
      <w:pPr>
        <w:pStyle w:val="Heading3"/>
        <w:numPr>
          <w:ilvl w:val="1"/>
          <w:numId w:val="42"/>
        </w:numPr>
        <w:ind w:left="720"/>
      </w:pPr>
      <w:bookmarkStart w:id="28" w:name="_Toc86663625"/>
      <w:bookmarkStart w:id="29" w:name="_Toc89072194"/>
      <w:bookmarkStart w:id="30" w:name="_Toc89072291"/>
      <w:r w:rsidRPr="00BB29E9">
        <w:lastRenderedPageBreak/>
        <w:t xml:space="preserve">Responsibilities of </w:t>
      </w:r>
      <w:r w:rsidR="006971B4">
        <w:t xml:space="preserve">the </w:t>
      </w:r>
      <w:r w:rsidRPr="00BB29E9">
        <w:t>Grantee</w:t>
      </w:r>
      <w:bookmarkEnd w:id="28"/>
      <w:bookmarkEnd w:id="29"/>
      <w:bookmarkEnd w:id="30"/>
    </w:p>
    <w:p w14:paraId="13E5F4FC" w14:textId="77777777" w:rsidR="00935511" w:rsidRDefault="00935511" w:rsidP="004D3DDA">
      <w:pPr>
        <w:shd w:val="clear" w:color="auto" w:fill="FFFFFF"/>
        <w:snapToGrid w:val="0"/>
        <w:ind w:left="720"/>
        <w:textAlignment w:val="baseline"/>
        <w:rPr>
          <w:rFonts w:cs="Arial"/>
        </w:rPr>
      </w:pPr>
      <w:r w:rsidRPr="00874D94">
        <w:rPr>
          <w:rFonts w:cs="Arial"/>
        </w:rPr>
        <w:t>The grantee</w:t>
      </w:r>
      <w:r w:rsidR="00FB6A4B">
        <w:rPr>
          <w:rFonts w:cs="Arial"/>
        </w:rPr>
        <w:t xml:space="preserve"> </w:t>
      </w:r>
      <w:r w:rsidRPr="00874D94">
        <w:rPr>
          <w:rFonts w:cs="Arial"/>
        </w:rPr>
        <w:t>will focus directly on building capacity to support LEAs with PL opportunities for educators</w:t>
      </w:r>
      <w:r>
        <w:rPr>
          <w:rFonts w:cs="Arial"/>
        </w:rPr>
        <w:t xml:space="preserve">—with a focus on instructional leaders, classroom teachers, and paraprofessionals—that are </w:t>
      </w:r>
      <w:r w:rsidRPr="00874D94">
        <w:rPr>
          <w:rFonts w:cs="Arial"/>
        </w:rPr>
        <w:t xml:space="preserve">designed to provide ongoing, </w:t>
      </w:r>
      <w:r>
        <w:rPr>
          <w:rFonts w:cs="Arial"/>
        </w:rPr>
        <w:t>evidence-based</w:t>
      </w:r>
      <w:r w:rsidRPr="00874D94">
        <w:rPr>
          <w:rFonts w:cs="Arial"/>
        </w:rPr>
        <w:t xml:space="preserve"> instruction and intervention</w:t>
      </w:r>
      <w:r>
        <w:rPr>
          <w:rFonts w:cs="Arial"/>
        </w:rPr>
        <w:t xml:space="preserve"> supports for all students</w:t>
      </w:r>
      <w:r w:rsidRPr="00874D94">
        <w:rPr>
          <w:rFonts w:cs="Arial"/>
        </w:rPr>
        <w:t>. T</w:t>
      </w:r>
      <w:r>
        <w:rPr>
          <w:rFonts w:cs="Arial"/>
        </w:rPr>
        <w:t>herefore, t</w:t>
      </w:r>
      <w:r w:rsidRPr="00874D94">
        <w:rPr>
          <w:rFonts w:cs="Arial"/>
        </w:rPr>
        <w:t>he Lead Applicant will p</w:t>
      </w:r>
      <w:r w:rsidRPr="00874D94">
        <w:rPr>
          <w:rFonts w:cs="Arial"/>
          <w:szCs w:val="24"/>
        </w:rPr>
        <w:t>rovide evidence demonstrating the commitment, capability, and experience to provide PL opportunities in the areas of evidence-based literacy, intensive literacy interventions, and support of pupils’ executive functioning skills</w:t>
      </w:r>
      <w:r>
        <w:rPr>
          <w:rFonts w:cs="Arial"/>
          <w:szCs w:val="24"/>
        </w:rPr>
        <w:t xml:space="preserve"> at the classroom level</w:t>
      </w:r>
      <w:r w:rsidRPr="00874D94">
        <w:rPr>
          <w:rFonts w:cs="Arial"/>
          <w:szCs w:val="24"/>
        </w:rPr>
        <w:t>.</w:t>
      </w:r>
    </w:p>
    <w:p w14:paraId="77F436AB" w14:textId="77777777" w:rsidR="00935511" w:rsidRPr="00AA7F8C" w:rsidRDefault="00935511" w:rsidP="004D3DDA">
      <w:pPr>
        <w:ind w:left="720"/>
        <w:rPr>
          <w:rFonts w:cs="Arial"/>
          <w:szCs w:val="24"/>
        </w:rPr>
      </w:pPr>
      <w:r>
        <w:rPr>
          <w:rFonts w:cs="Arial"/>
        </w:rPr>
        <w:t>The grante</w:t>
      </w:r>
      <w:r w:rsidR="00FB6A4B">
        <w:rPr>
          <w:rFonts w:cs="Arial"/>
        </w:rPr>
        <w:t>e</w:t>
      </w:r>
      <w:r w:rsidRPr="00AA7F8C">
        <w:rPr>
          <w:rFonts w:cs="Arial"/>
        </w:rPr>
        <w:t xml:space="preserve"> shall b</w:t>
      </w:r>
      <w:r w:rsidRPr="00AA7F8C">
        <w:rPr>
          <w:rFonts w:cs="Arial"/>
          <w:szCs w:val="24"/>
        </w:rPr>
        <w:t>e responsible for:</w:t>
      </w:r>
    </w:p>
    <w:p w14:paraId="6EE23721" w14:textId="77777777" w:rsidR="00935511" w:rsidRPr="00AA7F8C" w:rsidRDefault="00935511" w:rsidP="004D3DDA">
      <w:pPr>
        <w:numPr>
          <w:ilvl w:val="0"/>
          <w:numId w:val="46"/>
        </w:numPr>
        <w:shd w:val="clear" w:color="auto" w:fill="FFFFFF"/>
        <w:snapToGrid w:val="0"/>
        <w:ind w:left="1440"/>
        <w:textAlignment w:val="baseline"/>
        <w:rPr>
          <w:rFonts w:cs="Arial"/>
          <w:szCs w:val="24"/>
        </w:rPr>
      </w:pPr>
      <w:bookmarkStart w:id="31" w:name="_Hlk82187696"/>
      <w:r w:rsidRPr="00AA7F8C">
        <w:rPr>
          <w:rFonts w:cs="Arial"/>
          <w:szCs w:val="24"/>
        </w:rPr>
        <w:t xml:space="preserve">Generating and disseminating </w:t>
      </w:r>
      <w:r>
        <w:rPr>
          <w:rFonts w:cs="Arial"/>
          <w:szCs w:val="24"/>
        </w:rPr>
        <w:t>PL</w:t>
      </w:r>
      <w:r w:rsidRPr="00AA7F8C">
        <w:rPr>
          <w:rFonts w:cs="Arial"/>
          <w:szCs w:val="24"/>
        </w:rPr>
        <w:t xml:space="preserve"> opportunities for educators across the state</w:t>
      </w:r>
      <w:r>
        <w:rPr>
          <w:rFonts w:cs="Arial"/>
          <w:szCs w:val="24"/>
        </w:rPr>
        <w:t xml:space="preserve"> in the areas of reading instruction, reading intervention, and executive functioning skills</w:t>
      </w:r>
      <w:r w:rsidRPr="00AA7F8C">
        <w:rPr>
          <w:rFonts w:cs="Arial"/>
          <w:szCs w:val="24"/>
        </w:rPr>
        <w:t>.</w:t>
      </w:r>
      <w:bookmarkEnd w:id="31"/>
    </w:p>
    <w:p w14:paraId="7769D450" w14:textId="77777777" w:rsidR="00935511" w:rsidRDefault="00935511" w:rsidP="004D3DDA">
      <w:pPr>
        <w:widowControl w:val="0"/>
        <w:numPr>
          <w:ilvl w:val="0"/>
          <w:numId w:val="46"/>
        </w:numPr>
        <w:snapToGrid w:val="0"/>
        <w:ind w:left="1440"/>
        <w:rPr>
          <w:rFonts w:cs="Arial"/>
          <w:szCs w:val="24"/>
        </w:rPr>
      </w:pPr>
      <w:r w:rsidRPr="00AA7F8C">
        <w:rPr>
          <w:rFonts w:cs="Arial"/>
          <w:szCs w:val="24"/>
        </w:rPr>
        <w:t xml:space="preserve">Effecting changes in educator instructional practices </w:t>
      </w:r>
      <w:r w:rsidR="00385FFE">
        <w:rPr>
          <w:rFonts w:cs="Arial"/>
          <w:szCs w:val="24"/>
        </w:rPr>
        <w:t xml:space="preserve">in alignment with the </w:t>
      </w:r>
      <w:r w:rsidR="00495B5F">
        <w:rPr>
          <w:rFonts w:cs="Arial"/>
          <w:szCs w:val="24"/>
        </w:rPr>
        <w:t xml:space="preserve">Statewide </w:t>
      </w:r>
      <w:proofErr w:type="spellStart"/>
      <w:r w:rsidR="00495B5F">
        <w:rPr>
          <w:rFonts w:cs="Arial"/>
          <w:szCs w:val="24"/>
        </w:rPr>
        <w:t>SoS</w:t>
      </w:r>
      <w:proofErr w:type="spellEnd"/>
      <w:r w:rsidR="00495B5F">
        <w:rPr>
          <w:rFonts w:cs="Arial"/>
          <w:szCs w:val="24"/>
        </w:rPr>
        <w:t xml:space="preserve"> and the </w:t>
      </w:r>
      <w:r w:rsidR="00385FFE">
        <w:rPr>
          <w:rFonts w:cs="Arial"/>
          <w:szCs w:val="24"/>
        </w:rPr>
        <w:t xml:space="preserve">SLP </w:t>
      </w:r>
      <w:r w:rsidRPr="00AA7F8C">
        <w:rPr>
          <w:rFonts w:cs="Arial"/>
          <w:szCs w:val="24"/>
        </w:rPr>
        <w:t>by strengthening content, pedagogical, and collective knowledge</w:t>
      </w:r>
      <w:r w:rsidR="00385FFE">
        <w:rPr>
          <w:rFonts w:cs="Arial"/>
          <w:szCs w:val="24"/>
        </w:rPr>
        <w:t>, as well as</w:t>
      </w:r>
      <w:r w:rsidRPr="00AA7F8C">
        <w:rPr>
          <w:rFonts w:cs="Arial"/>
          <w:szCs w:val="24"/>
        </w:rPr>
        <w:t xml:space="preserve"> instructional leadership skills</w:t>
      </w:r>
      <w:r w:rsidR="007614F8">
        <w:rPr>
          <w:rFonts w:cs="Arial"/>
          <w:szCs w:val="24"/>
        </w:rPr>
        <w:t xml:space="preserve">, as described in </w:t>
      </w:r>
      <w:r w:rsidR="00DC546F">
        <w:rPr>
          <w:rFonts w:cs="Arial"/>
          <w:szCs w:val="24"/>
        </w:rPr>
        <w:t>S</w:t>
      </w:r>
      <w:r w:rsidR="007614F8">
        <w:rPr>
          <w:rFonts w:cs="Arial"/>
          <w:szCs w:val="24"/>
        </w:rPr>
        <w:t xml:space="preserve">ection 1, </w:t>
      </w:r>
      <w:r w:rsidR="00DC546F">
        <w:rPr>
          <w:rFonts w:cs="Arial"/>
          <w:szCs w:val="24"/>
        </w:rPr>
        <w:t>P</w:t>
      </w:r>
      <w:r w:rsidR="007614F8">
        <w:rPr>
          <w:rFonts w:cs="Arial"/>
          <w:szCs w:val="24"/>
        </w:rPr>
        <w:t>art</w:t>
      </w:r>
      <w:r w:rsidR="00DC546F">
        <w:rPr>
          <w:rFonts w:cs="Arial"/>
          <w:szCs w:val="24"/>
        </w:rPr>
        <w:t xml:space="preserve"> B</w:t>
      </w:r>
      <w:r w:rsidR="007614F8">
        <w:rPr>
          <w:rFonts w:cs="Arial"/>
          <w:szCs w:val="24"/>
        </w:rPr>
        <w:t>.</w:t>
      </w:r>
    </w:p>
    <w:p w14:paraId="3202ED7C" w14:textId="77777777" w:rsidR="007614F8" w:rsidRPr="00AA7F8C" w:rsidRDefault="007614F8" w:rsidP="004D3DDA">
      <w:pPr>
        <w:widowControl w:val="0"/>
        <w:numPr>
          <w:ilvl w:val="0"/>
          <w:numId w:val="46"/>
        </w:numPr>
        <w:snapToGrid w:val="0"/>
        <w:ind w:left="1440"/>
        <w:rPr>
          <w:rFonts w:cs="Arial"/>
          <w:szCs w:val="24"/>
        </w:rPr>
      </w:pPr>
      <w:r>
        <w:rPr>
          <w:rFonts w:cs="Arial"/>
          <w:szCs w:val="24"/>
        </w:rPr>
        <w:t xml:space="preserve">Coordinating with other literacy initiatives to ensure cohesion, as described in </w:t>
      </w:r>
      <w:r w:rsidR="00DC546F">
        <w:rPr>
          <w:rFonts w:cs="Arial"/>
          <w:szCs w:val="24"/>
        </w:rPr>
        <w:t xml:space="preserve">Section </w:t>
      </w:r>
      <w:r>
        <w:rPr>
          <w:rFonts w:cs="Arial"/>
          <w:szCs w:val="24"/>
        </w:rPr>
        <w:t xml:space="preserve">1, </w:t>
      </w:r>
      <w:r w:rsidR="00DC546F">
        <w:rPr>
          <w:rFonts w:cs="Arial"/>
          <w:szCs w:val="24"/>
        </w:rPr>
        <w:t>P</w:t>
      </w:r>
      <w:r>
        <w:rPr>
          <w:rFonts w:cs="Arial"/>
          <w:szCs w:val="24"/>
        </w:rPr>
        <w:t xml:space="preserve">art </w:t>
      </w:r>
      <w:r w:rsidR="00DC546F">
        <w:rPr>
          <w:rFonts w:cs="Arial"/>
          <w:szCs w:val="24"/>
        </w:rPr>
        <w:t>C</w:t>
      </w:r>
      <w:r>
        <w:rPr>
          <w:rFonts w:cs="Arial"/>
          <w:szCs w:val="24"/>
        </w:rPr>
        <w:t>.</w:t>
      </w:r>
    </w:p>
    <w:p w14:paraId="355D8198" w14:textId="77777777" w:rsidR="00935511" w:rsidRPr="00AA7F8C" w:rsidRDefault="00935511" w:rsidP="004D3DDA">
      <w:pPr>
        <w:numPr>
          <w:ilvl w:val="0"/>
          <w:numId w:val="46"/>
        </w:numPr>
        <w:ind w:left="1440"/>
        <w:rPr>
          <w:rFonts w:cs="Arial"/>
          <w:szCs w:val="24"/>
        </w:rPr>
      </w:pPr>
      <w:r>
        <w:rPr>
          <w:rFonts w:cs="Arial"/>
          <w:szCs w:val="24"/>
        </w:rPr>
        <w:t>Monitoring t</w:t>
      </w:r>
      <w:r w:rsidRPr="00AA7F8C">
        <w:rPr>
          <w:rFonts w:cs="Arial"/>
          <w:szCs w:val="24"/>
        </w:rPr>
        <w:t>he performance of any services provided through funds awarded under this grant by partners, consultants, or other organizations.</w:t>
      </w:r>
    </w:p>
    <w:p w14:paraId="5F416C00" w14:textId="77777777" w:rsidR="00935511" w:rsidRPr="00AA7F8C" w:rsidRDefault="00935511" w:rsidP="004D3DDA">
      <w:pPr>
        <w:numPr>
          <w:ilvl w:val="0"/>
          <w:numId w:val="46"/>
        </w:numPr>
        <w:ind w:left="1440"/>
        <w:rPr>
          <w:rFonts w:cs="Arial"/>
          <w:szCs w:val="24"/>
        </w:rPr>
      </w:pPr>
      <w:r w:rsidRPr="00AA7F8C">
        <w:rPr>
          <w:rFonts w:cs="Arial"/>
          <w:szCs w:val="24"/>
        </w:rPr>
        <w:t xml:space="preserve">Ensuring that any new instructional </w:t>
      </w:r>
      <w:r>
        <w:rPr>
          <w:rFonts w:cs="Arial"/>
          <w:szCs w:val="24"/>
        </w:rPr>
        <w:t xml:space="preserve">and PL </w:t>
      </w:r>
      <w:r w:rsidRPr="00AA7F8C">
        <w:rPr>
          <w:rFonts w:cs="Arial"/>
          <w:szCs w:val="24"/>
        </w:rPr>
        <w:t>materials developed as a result of this grant, are available as open educational resources</w:t>
      </w:r>
      <w:r w:rsidR="00DF349F">
        <w:rPr>
          <w:rFonts w:cs="Arial"/>
          <w:szCs w:val="24"/>
        </w:rPr>
        <w:t xml:space="preserve"> during and beyond the life of the grant</w:t>
      </w:r>
      <w:r w:rsidRPr="00AA7F8C">
        <w:rPr>
          <w:rFonts w:cs="Arial"/>
          <w:szCs w:val="24"/>
        </w:rPr>
        <w:t>.</w:t>
      </w:r>
    </w:p>
    <w:p w14:paraId="6BD91649" w14:textId="77777777" w:rsidR="00935511" w:rsidRPr="00AA7F8C" w:rsidRDefault="00935511" w:rsidP="00E661FB">
      <w:pPr>
        <w:numPr>
          <w:ilvl w:val="0"/>
          <w:numId w:val="46"/>
        </w:numPr>
        <w:autoSpaceDE w:val="0"/>
        <w:autoSpaceDN w:val="0"/>
        <w:adjustRightInd w:val="0"/>
        <w:snapToGrid w:val="0"/>
        <w:spacing w:after="480"/>
        <w:ind w:left="1440"/>
        <w:rPr>
          <w:rFonts w:cs="Arial"/>
          <w:szCs w:val="24"/>
        </w:rPr>
      </w:pPr>
      <w:bookmarkStart w:id="32" w:name="_Hlk82187862"/>
      <w:r w:rsidRPr="00AA7F8C">
        <w:rPr>
          <w:rFonts w:cs="Arial"/>
          <w:szCs w:val="24"/>
        </w:rPr>
        <w:t xml:space="preserve">Receiving and administering the grant funds and submitting the required reports to account for the use of grant funds. </w:t>
      </w:r>
      <w:bookmarkEnd w:id="32"/>
    </w:p>
    <w:p w14:paraId="0238EA01" w14:textId="77777777" w:rsidR="0079586F" w:rsidRPr="00935511" w:rsidRDefault="00CE76F8" w:rsidP="001A54D3">
      <w:pPr>
        <w:pStyle w:val="Heading3"/>
        <w:numPr>
          <w:ilvl w:val="1"/>
          <w:numId w:val="42"/>
        </w:numPr>
        <w:spacing w:before="0"/>
        <w:ind w:left="720"/>
      </w:pPr>
      <w:bookmarkStart w:id="33" w:name="_Toc86663626"/>
      <w:bookmarkStart w:id="34" w:name="_Toc89072195"/>
      <w:bookmarkStart w:id="35" w:name="_Toc89072292"/>
      <w:r w:rsidRPr="00935511">
        <w:t xml:space="preserve">Allowable </w:t>
      </w:r>
      <w:r w:rsidR="00935511" w:rsidRPr="00935511">
        <w:t xml:space="preserve">and Non-Allowable </w:t>
      </w:r>
      <w:r w:rsidRPr="00935511">
        <w:t>Activities and Costs</w:t>
      </w:r>
      <w:bookmarkEnd w:id="33"/>
      <w:bookmarkEnd w:id="34"/>
      <w:bookmarkEnd w:id="35"/>
    </w:p>
    <w:p w14:paraId="5C75E906" w14:textId="77777777" w:rsidR="00935511" w:rsidRPr="00AA7F8C" w:rsidRDefault="00935511" w:rsidP="00AE4B7B">
      <w:pPr>
        <w:ind w:left="720"/>
        <w:rPr>
          <w:rFonts w:cs="Arial"/>
        </w:rPr>
      </w:pPr>
      <w:r w:rsidRPr="00AA7F8C">
        <w:rPr>
          <w:rFonts w:cs="Arial"/>
        </w:rPr>
        <w:t xml:space="preserve">Applicant budgets for the use of grant funds will be reviewed </w:t>
      </w:r>
      <w:r>
        <w:rPr>
          <w:rFonts w:cs="Arial"/>
        </w:rPr>
        <w:t xml:space="preserve">by the CDE grant reviewers </w:t>
      </w:r>
      <w:r w:rsidRPr="00AA7F8C">
        <w:rPr>
          <w:rFonts w:cs="Arial"/>
        </w:rPr>
        <w:t xml:space="preserve">and any items that are deemed non-allowable, excessive, or inappropriate will be </w:t>
      </w:r>
      <w:r>
        <w:rPr>
          <w:rFonts w:cs="Arial"/>
        </w:rPr>
        <w:t>rejected and will impact an applicant’s final score</w:t>
      </w:r>
      <w:r w:rsidRPr="00AA7F8C">
        <w:rPr>
          <w:rFonts w:cs="Arial"/>
        </w:rPr>
        <w:t xml:space="preserve">. Generally, all expenditures must contribute to the goals and objectives outlined in </w:t>
      </w:r>
      <w:r>
        <w:rPr>
          <w:rFonts w:cs="Arial"/>
        </w:rPr>
        <w:t>Section</w:t>
      </w:r>
      <w:r w:rsidRPr="00AA7F8C">
        <w:rPr>
          <w:rFonts w:cs="Arial"/>
        </w:rPr>
        <w:t xml:space="preserve"> 1.</w:t>
      </w:r>
      <w:r>
        <w:rPr>
          <w:rFonts w:cs="Arial"/>
        </w:rPr>
        <w:t xml:space="preserve"> </w:t>
      </w:r>
      <w:r w:rsidRPr="00AA7F8C">
        <w:rPr>
          <w:rFonts w:cs="Arial"/>
        </w:rPr>
        <w:t>Funds may not be used for rental of a venue to provide professional development unless the expense is determined by the CDE to be a necessary and reasonable expense.</w:t>
      </w:r>
      <w:r w:rsidR="00DC546F">
        <w:rPr>
          <w:rFonts w:cs="Arial"/>
        </w:rPr>
        <w:t xml:space="preserve"> </w:t>
      </w:r>
      <w:r w:rsidRPr="00AA7F8C">
        <w:rPr>
          <w:rFonts w:cs="Arial"/>
        </w:rPr>
        <w:t>Funds provided under this grant may not be used for the following purposes:</w:t>
      </w:r>
    </w:p>
    <w:p w14:paraId="32798205" w14:textId="77777777" w:rsidR="00935511" w:rsidRPr="00AA7F8C" w:rsidRDefault="00935511" w:rsidP="004D3DDA">
      <w:pPr>
        <w:pStyle w:val="ListParagraph"/>
        <w:numPr>
          <w:ilvl w:val="0"/>
          <w:numId w:val="4"/>
        </w:numPr>
        <w:rPr>
          <w:rFonts w:cs="Arial"/>
        </w:rPr>
      </w:pPr>
      <w:r w:rsidRPr="00AA7F8C">
        <w:rPr>
          <w:rFonts w:cs="Arial"/>
        </w:rPr>
        <w:lastRenderedPageBreak/>
        <w:t>Supplanting of existing funding and efforts;</w:t>
      </w:r>
    </w:p>
    <w:p w14:paraId="7A7DC770" w14:textId="77777777" w:rsidR="00935511" w:rsidRPr="00AA7F8C" w:rsidRDefault="00935511" w:rsidP="004D3DDA">
      <w:pPr>
        <w:pStyle w:val="ListParagraph"/>
        <w:numPr>
          <w:ilvl w:val="0"/>
          <w:numId w:val="4"/>
        </w:numPr>
        <w:rPr>
          <w:rFonts w:cs="Arial"/>
        </w:rPr>
      </w:pPr>
      <w:r w:rsidRPr="00AA7F8C">
        <w:rPr>
          <w:rFonts w:cs="Arial"/>
        </w:rPr>
        <w:t>Acquisition of equipment for administrative or personal</w:t>
      </w:r>
      <w:r w:rsidRPr="00AA7F8C">
        <w:rPr>
          <w:rFonts w:cs="Arial"/>
          <w:spacing w:val="-9"/>
        </w:rPr>
        <w:t xml:space="preserve"> </w:t>
      </w:r>
      <w:r w:rsidRPr="00AA7F8C">
        <w:rPr>
          <w:rFonts w:cs="Arial"/>
        </w:rPr>
        <w:t>use;</w:t>
      </w:r>
    </w:p>
    <w:p w14:paraId="46591AC8" w14:textId="77777777" w:rsidR="00935511" w:rsidRPr="00A27DF1" w:rsidRDefault="00935511" w:rsidP="004D3DDA">
      <w:pPr>
        <w:pStyle w:val="ListParagraph"/>
        <w:numPr>
          <w:ilvl w:val="0"/>
          <w:numId w:val="4"/>
        </w:numPr>
        <w:rPr>
          <w:rFonts w:cs="Arial"/>
        </w:rPr>
      </w:pPr>
      <w:r w:rsidRPr="00AA7F8C">
        <w:rPr>
          <w:rFonts w:cs="Arial"/>
        </w:rPr>
        <w:t>Acquisition of furniture (e.g., bookcases, chairs, desks, file cabinets, tables), unless an integral part of an equipment workstation or to provide reasonable accommodations to student</w:t>
      </w:r>
      <w:r w:rsidRPr="00A27DF1">
        <w:rPr>
          <w:rFonts w:cs="Arial"/>
        </w:rPr>
        <w:t>s with disabilities;</w:t>
      </w:r>
    </w:p>
    <w:p w14:paraId="636557AD" w14:textId="77777777" w:rsidR="00935511" w:rsidRPr="00AA7F8C" w:rsidRDefault="00935511" w:rsidP="004D3DDA">
      <w:pPr>
        <w:pStyle w:val="ListParagraph"/>
        <w:numPr>
          <w:ilvl w:val="0"/>
          <w:numId w:val="4"/>
        </w:numPr>
        <w:rPr>
          <w:rFonts w:cs="Arial"/>
        </w:rPr>
      </w:pPr>
      <w:r w:rsidRPr="00AA7F8C">
        <w:rPr>
          <w:rFonts w:cs="Arial"/>
        </w:rPr>
        <w:t>Food services, refreshments, banquets,</w:t>
      </w:r>
      <w:r w:rsidRPr="00AA7F8C">
        <w:rPr>
          <w:rFonts w:cs="Arial"/>
          <w:spacing w:val="-1"/>
        </w:rPr>
        <w:t xml:space="preserve"> </w:t>
      </w:r>
      <w:r w:rsidRPr="00AA7F8C">
        <w:rPr>
          <w:rFonts w:cs="Arial"/>
        </w:rPr>
        <w:t>meals;</w:t>
      </w:r>
    </w:p>
    <w:p w14:paraId="41E16CB4" w14:textId="77777777" w:rsidR="00935511" w:rsidRPr="00AA7F8C" w:rsidRDefault="00935511" w:rsidP="004D3DDA">
      <w:pPr>
        <w:pStyle w:val="ListParagraph"/>
        <w:numPr>
          <w:ilvl w:val="0"/>
          <w:numId w:val="4"/>
        </w:numPr>
        <w:rPr>
          <w:rFonts w:cs="Arial"/>
        </w:rPr>
      </w:pPr>
      <w:r w:rsidRPr="00AA7F8C">
        <w:rPr>
          <w:rFonts w:cs="Arial"/>
        </w:rPr>
        <w:t>Purchase of space;</w:t>
      </w:r>
    </w:p>
    <w:p w14:paraId="0013FB9A" w14:textId="77777777" w:rsidR="00935511" w:rsidRPr="00AA7F8C" w:rsidRDefault="00935511" w:rsidP="004D3DDA">
      <w:pPr>
        <w:pStyle w:val="ListParagraph"/>
        <w:numPr>
          <w:ilvl w:val="0"/>
          <w:numId w:val="4"/>
        </w:numPr>
        <w:rPr>
          <w:rFonts w:cs="Arial"/>
        </w:rPr>
      </w:pPr>
      <w:r w:rsidRPr="00AA7F8C">
        <w:rPr>
          <w:rFonts w:cs="Arial"/>
        </w:rPr>
        <w:t>Payment for memberships in professional</w:t>
      </w:r>
      <w:r w:rsidRPr="00AA7F8C">
        <w:rPr>
          <w:rFonts w:cs="Arial"/>
          <w:spacing w:val="-11"/>
        </w:rPr>
        <w:t xml:space="preserve"> </w:t>
      </w:r>
      <w:r w:rsidRPr="00AA7F8C">
        <w:rPr>
          <w:rFonts w:cs="Arial"/>
        </w:rPr>
        <w:t>organizations;</w:t>
      </w:r>
    </w:p>
    <w:p w14:paraId="19A7FDFE" w14:textId="77777777" w:rsidR="00935511" w:rsidRPr="00AA7F8C" w:rsidRDefault="00935511" w:rsidP="004D3DDA">
      <w:pPr>
        <w:pStyle w:val="ListParagraph"/>
        <w:numPr>
          <w:ilvl w:val="0"/>
          <w:numId w:val="4"/>
        </w:numPr>
        <w:rPr>
          <w:rFonts w:cs="Arial"/>
        </w:rPr>
      </w:pPr>
      <w:r w:rsidRPr="00AA7F8C">
        <w:rPr>
          <w:rFonts w:cs="Arial"/>
        </w:rPr>
        <w:t>Purchase of promotional favors, such as bumper stickers, pencils, pens, or T- shirts;</w:t>
      </w:r>
    </w:p>
    <w:p w14:paraId="5CC7B1D8" w14:textId="77777777" w:rsidR="00935511" w:rsidRPr="00AA7F8C" w:rsidRDefault="00935511" w:rsidP="004D3DDA">
      <w:pPr>
        <w:pStyle w:val="ListParagraph"/>
        <w:numPr>
          <w:ilvl w:val="0"/>
          <w:numId w:val="4"/>
        </w:numPr>
        <w:rPr>
          <w:rFonts w:cs="Arial"/>
        </w:rPr>
      </w:pPr>
      <w:r w:rsidRPr="00AA7F8C">
        <w:rPr>
          <w:rFonts w:cs="Arial"/>
        </w:rPr>
        <w:t>Subscriptions to journals or</w:t>
      </w:r>
      <w:r w:rsidRPr="00AA7F8C">
        <w:rPr>
          <w:rFonts w:cs="Arial"/>
          <w:spacing w:val="-3"/>
        </w:rPr>
        <w:t xml:space="preserve"> </w:t>
      </w:r>
      <w:r w:rsidRPr="00AA7F8C">
        <w:rPr>
          <w:rFonts w:cs="Arial"/>
        </w:rPr>
        <w:t>magazines;</w:t>
      </w:r>
    </w:p>
    <w:p w14:paraId="73FE9848" w14:textId="77777777" w:rsidR="00935511" w:rsidRPr="00AA7F8C" w:rsidRDefault="00935511" w:rsidP="004D3DDA">
      <w:pPr>
        <w:pStyle w:val="ListParagraph"/>
        <w:numPr>
          <w:ilvl w:val="0"/>
          <w:numId w:val="4"/>
        </w:numPr>
        <w:rPr>
          <w:rFonts w:cs="Arial"/>
        </w:rPr>
      </w:pPr>
      <w:r w:rsidRPr="00AA7F8C">
        <w:rPr>
          <w:rFonts w:cs="Arial"/>
        </w:rPr>
        <w:t>Travel outside the U</w:t>
      </w:r>
      <w:r w:rsidR="001348CF">
        <w:rPr>
          <w:rFonts w:cs="Arial"/>
        </w:rPr>
        <w:t>.S.</w:t>
      </w:r>
      <w:r w:rsidRPr="00AA7F8C">
        <w:rPr>
          <w:rFonts w:cs="Arial"/>
        </w:rPr>
        <w:t>, or</w:t>
      </w:r>
    </w:p>
    <w:p w14:paraId="0924F09B" w14:textId="7C4EBF2A" w:rsidR="00935511" w:rsidRPr="00AA7F8C" w:rsidRDefault="00935511" w:rsidP="00E661FB">
      <w:pPr>
        <w:pStyle w:val="ListParagraph"/>
        <w:numPr>
          <w:ilvl w:val="0"/>
          <w:numId w:val="4"/>
        </w:numPr>
        <w:spacing w:after="480"/>
        <w:rPr>
          <w:rFonts w:cs="Arial"/>
        </w:rPr>
      </w:pPr>
      <w:r w:rsidRPr="00AA7F8C">
        <w:rPr>
          <w:rFonts w:cs="Arial"/>
        </w:rPr>
        <w:t>Travel to states included in AB</w:t>
      </w:r>
      <w:r w:rsidR="001348CF">
        <w:rPr>
          <w:rFonts w:cs="Arial"/>
        </w:rPr>
        <w:t xml:space="preserve"> </w:t>
      </w:r>
      <w:r w:rsidRPr="00AA7F8C">
        <w:rPr>
          <w:rFonts w:cs="Arial"/>
        </w:rPr>
        <w:t xml:space="preserve">1887’s travel prohibition list found at </w:t>
      </w:r>
      <w:hyperlink r:id="rId37" w:tooltip="Travel Prohibition List " w:history="1">
        <w:r w:rsidRPr="00AA7F8C">
          <w:rPr>
            <w:rStyle w:val="Hyperlink"/>
            <w:rFonts w:cs="Arial"/>
          </w:rPr>
          <w:t>https://oag.ca.gov/ab1887</w:t>
        </w:r>
      </w:hyperlink>
      <w:r w:rsidRPr="00AA7F8C">
        <w:rPr>
          <w:rFonts w:cs="Arial"/>
        </w:rPr>
        <w:t xml:space="preserve">. </w:t>
      </w:r>
    </w:p>
    <w:p w14:paraId="692F13E4" w14:textId="77777777" w:rsidR="00935511" w:rsidRPr="00AB6467" w:rsidRDefault="00935511" w:rsidP="00F546BD">
      <w:pPr>
        <w:pStyle w:val="Heading4"/>
      </w:pPr>
      <w:bookmarkStart w:id="36" w:name="_Toc51772125"/>
      <w:bookmarkStart w:id="37" w:name="_Toc86663627"/>
      <w:bookmarkStart w:id="38" w:name="_Hlk84253427"/>
      <w:r w:rsidRPr="00F546BD">
        <w:t>Direct</w:t>
      </w:r>
      <w:r w:rsidRPr="00AB6467">
        <w:t xml:space="preserve"> Costs</w:t>
      </w:r>
      <w:bookmarkEnd w:id="36"/>
      <w:bookmarkEnd w:id="37"/>
    </w:p>
    <w:p w14:paraId="4E1B0AC3" w14:textId="77777777" w:rsidR="00935511" w:rsidRPr="00AA7F8C" w:rsidRDefault="00935511" w:rsidP="009B6A26">
      <w:pPr>
        <w:ind w:left="720"/>
        <w:rPr>
          <w:rFonts w:cs="Arial"/>
        </w:rPr>
      </w:pPr>
      <w:r w:rsidRPr="00AA7F8C">
        <w:rPr>
          <w:rFonts w:cs="Arial"/>
        </w:rPr>
        <w:t>Direct costs for this grant are those costs that can be identified specifically with a particular final cost objective. Costs incurred for the same purpose, in like circumstances, must be treated consistently as either direct or indirect costs.</w:t>
      </w:r>
    </w:p>
    <w:p w14:paraId="7E78BB1F" w14:textId="77777777" w:rsidR="00935511" w:rsidRPr="00AA7F8C" w:rsidRDefault="00935511" w:rsidP="009B6A26">
      <w:pPr>
        <w:ind w:left="720"/>
        <w:rPr>
          <w:rFonts w:cs="Arial"/>
        </w:rPr>
      </w:pPr>
      <w:r w:rsidRPr="00AA7F8C">
        <w:rPr>
          <w:rFonts w:cs="Arial"/>
        </w:rPr>
        <w:t>The salaries of administrative and clerical staff should normally be treated as indirect costs. Direct charging of these costs may be appropriate only if all of the following conditions are met:</w:t>
      </w:r>
    </w:p>
    <w:p w14:paraId="78AF7DC2" w14:textId="77777777" w:rsidR="00935511" w:rsidRPr="00825896" w:rsidRDefault="00935511" w:rsidP="009B6A26">
      <w:pPr>
        <w:pStyle w:val="ListParagraph"/>
        <w:widowControl w:val="0"/>
        <w:numPr>
          <w:ilvl w:val="0"/>
          <w:numId w:val="65"/>
        </w:numPr>
        <w:spacing w:after="0"/>
        <w:ind w:left="1440"/>
        <w:rPr>
          <w:rFonts w:cs="Arial"/>
        </w:rPr>
      </w:pPr>
      <w:r w:rsidRPr="00825896">
        <w:rPr>
          <w:rFonts w:cs="Arial"/>
        </w:rPr>
        <w:t>Administrative or clerical services are integral to a project or activity;</w:t>
      </w:r>
    </w:p>
    <w:p w14:paraId="7F787216" w14:textId="77777777" w:rsidR="00935511" w:rsidRPr="00AA7F8C" w:rsidRDefault="00935511" w:rsidP="009B6A26">
      <w:pPr>
        <w:widowControl w:val="0"/>
        <w:numPr>
          <w:ilvl w:val="0"/>
          <w:numId w:val="65"/>
        </w:numPr>
        <w:spacing w:after="0"/>
        <w:ind w:left="1440" w:right="-187"/>
        <w:rPr>
          <w:rFonts w:cs="Arial"/>
        </w:rPr>
      </w:pPr>
      <w:r w:rsidRPr="00AA7F8C">
        <w:rPr>
          <w:rFonts w:cs="Arial"/>
        </w:rPr>
        <w:t>Individuals involved can be specifically identified with the project or activity</w:t>
      </w:r>
      <w:r w:rsidR="009B6A26">
        <w:rPr>
          <w:rFonts w:cs="Arial"/>
        </w:rPr>
        <w:t>:</w:t>
      </w:r>
    </w:p>
    <w:p w14:paraId="4ABDA483" w14:textId="77777777" w:rsidR="00935511" w:rsidRPr="00AA7F8C" w:rsidRDefault="00935511" w:rsidP="009B6A26">
      <w:pPr>
        <w:widowControl w:val="0"/>
        <w:numPr>
          <w:ilvl w:val="0"/>
          <w:numId w:val="65"/>
        </w:numPr>
        <w:spacing w:after="0"/>
        <w:ind w:left="1440"/>
        <w:rPr>
          <w:rFonts w:cs="Arial"/>
        </w:rPr>
      </w:pPr>
      <w:r w:rsidRPr="00AA7F8C">
        <w:rPr>
          <w:rFonts w:cs="Arial"/>
        </w:rPr>
        <w:t xml:space="preserve">Direct costs are explicitly included in the budget; and </w:t>
      </w:r>
    </w:p>
    <w:p w14:paraId="685D0C6E" w14:textId="77777777" w:rsidR="00935511" w:rsidRDefault="00935511" w:rsidP="004D3DDA">
      <w:pPr>
        <w:widowControl w:val="0"/>
        <w:numPr>
          <w:ilvl w:val="0"/>
          <w:numId w:val="65"/>
        </w:numPr>
        <w:ind w:left="1440"/>
        <w:rPr>
          <w:rFonts w:cs="Arial"/>
        </w:rPr>
      </w:pPr>
      <w:r w:rsidRPr="00AA7F8C">
        <w:rPr>
          <w:rFonts w:cs="Arial"/>
        </w:rPr>
        <w:t>Direct costs are not also recovered as indirect costs.</w:t>
      </w:r>
    </w:p>
    <w:p w14:paraId="54B2C5CE" w14:textId="77777777" w:rsidR="00BA3874" w:rsidRPr="002C37DB" w:rsidRDefault="00BA3874" w:rsidP="00E661FB">
      <w:pPr>
        <w:widowControl w:val="0"/>
        <w:spacing w:after="480"/>
        <w:ind w:left="720"/>
        <w:rPr>
          <w:rFonts w:cs="Arial"/>
        </w:rPr>
      </w:pPr>
      <w:r w:rsidRPr="00E661FB">
        <w:rPr>
          <w:rFonts w:cs="Arial"/>
          <w:b/>
        </w:rPr>
        <w:t>Note</w:t>
      </w:r>
      <w:r w:rsidR="007125D8">
        <w:rPr>
          <w:rFonts w:cs="Arial"/>
        </w:rPr>
        <w:t>:</w:t>
      </w:r>
      <w:r>
        <w:rPr>
          <w:rFonts w:cs="Arial"/>
        </w:rPr>
        <w:t xml:space="preserve"> </w:t>
      </w:r>
      <w:r w:rsidR="007125D8">
        <w:rPr>
          <w:rFonts w:cs="Arial"/>
        </w:rPr>
        <w:t>If</w:t>
      </w:r>
      <w:r>
        <w:rPr>
          <w:rFonts w:cs="Arial"/>
        </w:rPr>
        <w:t xml:space="preserve"> salary costs are included in the budget, they should reflect anticipated annual increases over the life of the grant period. </w:t>
      </w:r>
    </w:p>
    <w:p w14:paraId="6FC9F0A3" w14:textId="77777777" w:rsidR="00935511" w:rsidRPr="00EC5E20" w:rsidRDefault="00935511" w:rsidP="00F546BD">
      <w:pPr>
        <w:pStyle w:val="Heading3"/>
        <w:numPr>
          <w:ilvl w:val="1"/>
          <w:numId w:val="42"/>
        </w:numPr>
      </w:pPr>
      <w:bookmarkStart w:id="39" w:name="_Toc51772126"/>
      <w:bookmarkStart w:id="40" w:name="_Toc89072196"/>
      <w:bookmarkStart w:id="41" w:name="_Toc89072293"/>
      <w:r w:rsidRPr="00EC5E20">
        <w:lastRenderedPageBreak/>
        <w:t>Administrative Indirect Cost Rate</w:t>
      </w:r>
      <w:bookmarkEnd w:id="39"/>
      <w:bookmarkEnd w:id="40"/>
      <w:bookmarkEnd w:id="41"/>
    </w:p>
    <w:p w14:paraId="312182BE" w14:textId="77DB4DC1" w:rsidR="00935511" w:rsidRDefault="00935511" w:rsidP="00E661FB">
      <w:pPr>
        <w:spacing w:after="480"/>
        <w:ind w:left="720"/>
        <w:rPr>
          <w:rFonts w:cs="Arial"/>
        </w:rPr>
      </w:pPr>
      <w:r w:rsidRPr="00AA7F8C">
        <w:rPr>
          <w:rFonts w:cs="Arial"/>
          <w:szCs w:val="24"/>
        </w:rPr>
        <w:t xml:space="preserve">Information regarding indirect cost rates, as well as responses to frequently asked questions, </w:t>
      </w:r>
      <w:r>
        <w:rPr>
          <w:rFonts w:cs="Arial"/>
          <w:szCs w:val="24"/>
        </w:rPr>
        <w:t>are available</w:t>
      </w:r>
      <w:r w:rsidRPr="00AA7F8C">
        <w:rPr>
          <w:rFonts w:cs="Arial"/>
          <w:szCs w:val="24"/>
        </w:rPr>
        <w:t xml:space="preserve"> on the CDE Indirect Cost Rates web page at </w:t>
      </w:r>
      <w:hyperlink r:id="rId38" w:tooltip="Indirect Cost Rates" w:history="1">
        <w:r w:rsidRPr="00AA7F8C">
          <w:rPr>
            <w:rStyle w:val="Hyperlink"/>
            <w:rFonts w:cs="Arial"/>
            <w:szCs w:val="24"/>
          </w:rPr>
          <w:t>https://www.cde.ca.gov/fg/ac/ic/</w:t>
        </w:r>
      </w:hyperlink>
      <w:r w:rsidRPr="00AA7F8C">
        <w:rPr>
          <w:rFonts w:cs="Arial"/>
        </w:rPr>
        <w:t>.</w:t>
      </w:r>
    </w:p>
    <w:p w14:paraId="6DA191A8" w14:textId="070621F1" w:rsidR="00935511" w:rsidRPr="00032E4D" w:rsidRDefault="00935511" w:rsidP="00F546BD">
      <w:pPr>
        <w:pStyle w:val="Heading3"/>
        <w:numPr>
          <w:ilvl w:val="1"/>
          <w:numId w:val="42"/>
        </w:numPr>
        <w:rPr>
          <w:i/>
        </w:rPr>
      </w:pPr>
      <w:bookmarkStart w:id="42" w:name="_Toc51772128"/>
      <w:bookmarkStart w:id="43" w:name="_Toc86663628"/>
      <w:bookmarkStart w:id="44" w:name="_Toc86663936"/>
      <w:bookmarkStart w:id="45" w:name="_Toc89072197"/>
      <w:bookmarkStart w:id="46" w:name="_Toc89072294"/>
      <w:bookmarkEnd w:id="38"/>
      <w:r w:rsidRPr="00032E4D">
        <w:t>Reporting Requirements</w:t>
      </w:r>
      <w:bookmarkEnd w:id="42"/>
      <w:bookmarkEnd w:id="43"/>
      <w:bookmarkEnd w:id="44"/>
      <w:bookmarkEnd w:id="45"/>
      <w:bookmarkEnd w:id="46"/>
    </w:p>
    <w:p w14:paraId="6A5DC3AE" w14:textId="77777777" w:rsidR="002872CC" w:rsidRPr="002872CC" w:rsidRDefault="00935511" w:rsidP="004D3DDA">
      <w:pPr>
        <w:widowControl w:val="0"/>
        <w:ind w:left="720"/>
        <w:rPr>
          <w:rFonts w:cs="Arial"/>
        </w:rPr>
      </w:pPr>
      <w:r w:rsidRPr="008F1691">
        <w:rPr>
          <w:rFonts w:cs="Arial"/>
          <w:szCs w:val="24"/>
        </w:rPr>
        <w:t xml:space="preserve">An integral part of the reporting requirements is ongoing communication with the CDE, the CCEE, and other lead agencies in the Statewide </w:t>
      </w:r>
      <w:proofErr w:type="spellStart"/>
      <w:r w:rsidRPr="008F1691">
        <w:rPr>
          <w:rFonts w:cs="Arial"/>
          <w:szCs w:val="24"/>
        </w:rPr>
        <w:t>SoS</w:t>
      </w:r>
      <w:proofErr w:type="spellEnd"/>
      <w:r w:rsidR="00515336" w:rsidRPr="008F1691">
        <w:rPr>
          <w:rFonts w:cs="Arial"/>
          <w:szCs w:val="24"/>
        </w:rPr>
        <w:t>. The</w:t>
      </w:r>
      <w:r w:rsidRPr="008F1691">
        <w:rPr>
          <w:rFonts w:cs="Arial"/>
          <w:szCs w:val="24"/>
        </w:rPr>
        <w:t xml:space="preserve"> grante</w:t>
      </w:r>
      <w:r w:rsidR="006971B4">
        <w:rPr>
          <w:rFonts w:cs="Arial"/>
          <w:szCs w:val="24"/>
        </w:rPr>
        <w:t>e</w:t>
      </w:r>
      <w:r w:rsidRPr="008F1691">
        <w:rPr>
          <w:rFonts w:cs="Arial"/>
          <w:szCs w:val="24"/>
        </w:rPr>
        <w:t xml:space="preserve"> will participate in regular meetings with the CDE and the CCEE</w:t>
      </w:r>
      <w:r w:rsidR="002872CC" w:rsidRPr="008F1691">
        <w:rPr>
          <w:rFonts w:cs="Arial"/>
          <w:szCs w:val="24"/>
        </w:rPr>
        <w:t xml:space="preserve"> and participate in</w:t>
      </w:r>
      <w:r w:rsidR="002872CC" w:rsidRPr="002872CC">
        <w:rPr>
          <w:rFonts w:cs="Arial"/>
        </w:rPr>
        <w:t xml:space="preserve"> all required evaluation activities as requested by the CCEE.</w:t>
      </w:r>
    </w:p>
    <w:p w14:paraId="2A28C88C" w14:textId="77777777" w:rsidR="00935511" w:rsidRPr="002C37DB" w:rsidRDefault="00935511" w:rsidP="004D3DDA">
      <w:pPr>
        <w:ind w:left="720"/>
      </w:pPr>
      <w:r>
        <w:rPr>
          <w:rFonts w:cs="Arial"/>
        </w:rPr>
        <w:t>T</w:t>
      </w:r>
      <w:r w:rsidRPr="00AA7F8C">
        <w:rPr>
          <w:rFonts w:cs="Arial"/>
        </w:rPr>
        <w:t xml:space="preserve">he following </w:t>
      </w:r>
      <w:r>
        <w:rPr>
          <w:rFonts w:cs="Arial"/>
        </w:rPr>
        <w:t xml:space="preserve">requirements </w:t>
      </w:r>
      <w:r w:rsidRPr="00AA7F8C">
        <w:rPr>
          <w:rFonts w:cs="Arial"/>
        </w:rPr>
        <w:t xml:space="preserve">will be </w:t>
      </w:r>
      <w:r>
        <w:rPr>
          <w:rFonts w:cs="Arial"/>
        </w:rPr>
        <w:t>adhered to</w:t>
      </w:r>
      <w:r w:rsidRPr="00AA7F8C">
        <w:rPr>
          <w:rFonts w:cs="Arial"/>
        </w:rPr>
        <w:t>:</w:t>
      </w:r>
    </w:p>
    <w:p w14:paraId="79A270A2" w14:textId="77777777" w:rsidR="00935511" w:rsidRDefault="00935511" w:rsidP="004D3DDA">
      <w:pPr>
        <w:pStyle w:val="ListParagraph"/>
        <w:widowControl w:val="0"/>
        <w:numPr>
          <w:ilvl w:val="0"/>
          <w:numId w:val="48"/>
        </w:numPr>
        <w:ind w:left="1440"/>
        <w:rPr>
          <w:rFonts w:cs="Arial"/>
        </w:rPr>
      </w:pPr>
      <w:r w:rsidRPr="002C37DB">
        <w:rPr>
          <w:rFonts w:cs="Arial"/>
        </w:rPr>
        <w:t>Provide a written quarterly expenditure and progress report to the CDE demonstrating expenditures are consistent with the agreed-upon budget; and</w:t>
      </w:r>
    </w:p>
    <w:p w14:paraId="67C7E585" w14:textId="77777777" w:rsidR="00935511" w:rsidRPr="002C37DB" w:rsidRDefault="00935511" w:rsidP="004D3DDA">
      <w:pPr>
        <w:pStyle w:val="ListParagraph"/>
        <w:widowControl w:val="0"/>
        <w:numPr>
          <w:ilvl w:val="0"/>
          <w:numId w:val="48"/>
        </w:numPr>
        <w:ind w:left="1440"/>
        <w:rPr>
          <w:rFonts w:cs="Arial"/>
        </w:rPr>
      </w:pPr>
      <w:r w:rsidRPr="002C37DB">
        <w:rPr>
          <w:rFonts w:cs="Arial"/>
        </w:rPr>
        <w:t xml:space="preserve">Provide an annual report to the CDE on the achievement towards the </w:t>
      </w:r>
      <w:r>
        <w:rPr>
          <w:rFonts w:cs="Arial"/>
        </w:rPr>
        <w:t xml:space="preserve">goals, objectives, and </w:t>
      </w:r>
      <w:r w:rsidRPr="002C37DB">
        <w:rPr>
          <w:rFonts w:cs="Arial"/>
        </w:rPr>
        <w:t>actions described, and an assessment of progress made on the metrics identified in the applicant’s</w:t>
      </w:r>
      <w:r w:rsidR="00515336">
        <w:rPr>
          <w:rFonts w:cs="Arial"/>
        </w:rPr>
        <w:t xml:space="preserve"> </w:t>
      </w:r>
      <w:r w:rsidR="005B0CB9">
        <w:rPr>
          <w:rFonts w:cs="Arial"/>
          <w:szCs w:val="24"/>
        </w:rPr>
        <w:t>program application</w:t>
      </w:r>
      <w:r w:rsidRPr="005B0CB9">
        <w:rPr>
          <w:rFonts w:cs="Arial"/>
          <w:szCs w:val="24"/>
        </w:rPr>
        <w:t>.</w:t>
      </w:r>
      <w:r w:rsidRPr="002C37DB">
        <w:rPr>
          <w:rFonts w:cs="Arial"/>
          <w:szCs w:val="24"/>
        </w:rPr>
        <w:t xml:space="preserve"> </w:t>
      </w:r>
      <w:r w:rsidRPr="002C37DB">
        <w:rPr>
          <w:rFonts w:cs="Arial"/>
        </w:rPr>
        <w:t>The grantee</w:t>
      </w:r>
      <w:r w:rsidR="006971B4">
        <w:rPr>
          <w:rFonts w:cs="Arial"/>
        </w:rPr>
        <w:t xml:space="preserve"> </w:t>
      </w:r>
      <w:r w:rsidRPr="002C37DB">
        <w:rPr>
          <w:rFonts w:cs="Arial"/>
        </w:rPr>
        <w:t>must provide a summary of activities in the annual report identifying both individual and collective contributions including, but not limited to:</w:t>
      </w:r>
    </w:p>
    <w:p w14:paraId="7ABD0417" w14:textId="77777777" w:rsidR="00935511" w:rsidRPr="00AA7F8C" w:rsidRDefault="00935511" w:rsidP="004D3DDA">
      <w:pPr>
        <w:pStyle w:val="ListParagraph"/>
        <w:numPr>
          <w:ilvl w:val="0"/>
          <w:numId w:val="63"/>
        </w:numPr>
        <w:ind w:left="2160"/>
        <w:rPr>
          <w:rFonts w:cs="Arial"/>
        </w:rPr>
      </w:pPr>
      <w:r w:rsidRPr="00AA7F8C">
        <w:rPr>
          <w:rFonts w:cs="Arial"/>
        </w:rPr>
        <w:t xml:space="preserve">Proposed multiple measures to evaluate progress towards the program goals that evaluate the increased capacity of the grantee and partner(s) to provide quality </w:t>
      </w:r>
      <w:r>
        <w:rPr>
          <w:rFonts w:cs="Arial"/>
        </w:rPr>
        <w:t>PL</w:t>
      </w:r>
      <w:r w:rsidRPr="00AA7F8C">
        <w:rPr>
          <w:rFonts w:cs="Arial"/>
        </w:rPr>
        <w:t xml:space="preserve"> to LEAs;</w:t>
      </w:r>
    </w:p>
    <w:p w14:paraId="4052F252" w14:textId="77777777" w:rsidR="00935511" w:rsidRPr="00AA7F8C" w:rsidRDefault="00935511" w:rsidP="004D3DDA">
      <w:pPr>
        <w:pStyle w:val="ListParagraph"/>
        <w:numPr>
          <w:ilvl w:val="0"/>
          <w:numId w:val="63"/>
        </w:numPr>
        <w:ind w:left="2160"/>
        <w:rPr>
          <w:rFonts w:cs="Arial"/>
        </w:rPr>
      </w:pPr>
      <w:r w:rsidRPr="00AA7F8C">
        <w:rPr>
          <w:rFonts w:cs="Arial"/>
        </w:rPr>
        <w:t xml:space="preserve">Evidence of coordination and collaboration with other agencies of the Statewide </w:t>
      </w:r>
      <w:proofErr w:type="spellStart"/>
      <w:r w:rsidRPr="00AA7F8C">
        <w:rPr>
          <w:rFonts w:cs="Arial"/>
        </w:rPr>
        <w:t>SoS</w:t>
      </w:r>
      <w:proofErr w:type="spellEnd"/>
      <w:r w:rsidRPr="00AA7F8C">
        <w:rPr>
          <w:rFonts w:cs="Arial"/>
        </w:rPr>
        <w:t xml:space="preserve">, including but not limited to </w:t>
      </w:r>
      <w:r>
        <w:rPr>
          <w:rFonts w:cs="Arial"/>
        </w:rPr>
        <w:t>the CDE</w:t>
      </w:r>
      <w:r w:rsidRPr="00AA7F8C">
        <w:rPr>
          <w:rFonts w:cs="Arial"/>
        </w:rPr>
        <w:t xml:space="preserve">, the CCEE, </w:t>
      </w:r>
      <w:r>
        <w:rPr>
          <w:rFonts w:cs="Arial"/>
        </w:rPr>
        <w:t xml:space="preserve">lead agencies, grantees of other literacy initiatives (as described in </w:t>
      </w:r>
      <w:r w:rsidR="00BA3874">
        <w:rPr>
          <w:rFonts w:cs="Arial"/>
          <w:szCs w:val="24"/>
        </w:rPr>
        <w:t>Section 1, Part C</w:t>
      </w:r>
      <w:r>
        <w:rPr>
          <w:rFonts w:cs="Arial"/>
        </w:rPr>
        <w:t>), COEs</w:t>
      </w:r>
      <w:r w:rsidRPr="00AA7F8C">
        <w:rPr>
          <w:rFonts w:cs="Arial"/>
        </w:rPr>
        <w:t xml:space="preserve">, and </w:t>
      </w:r>
      <w:r>
        <w:rPr>
          <w:rFonts w:cs="Arial"/>
        </w:rPr>
        <w:t>district</w:t>
      </w:r>
      <w:r w:rsidRPr="00AA7F8C">
        <w:rPr>
          <w:rFonts w:cs="Arial"/>
        </w:rPr>
        <w:t>s; and</w:t>
      </w:r>
    </w:p>
    <w:p w14:paraId="49271951" w14:textId="77777777" w:rsidR="00935511" w:rsidRDefault="00935511" w:rsidP="004D3DDA">
      <w:pPr>
        <w:pStyle w:val="ListParagraph"/>
        <w:numPr>
          <w:ilvl w:val="0"/>
          <w:numId w:val="63"/>
        </w:numPr>
        <w:ind w:left="2160"/>
        <w:rPr>
          <w:rFonts w:cs="Arial"/>
        </w:rPr>
      </w:pPr>
      <w:r w:rsidRPr="00AA7F8C">
        <w:rPr>
          <w:rFonts w:cs="Arial"/>
        </w:rPr>
        <w:t xml:space="preserve">Number of activities accomplished; the impact of these activities; and the number of teachers, paraprofessionals, school leaders, </w:t>
      </w:r>
      <w:r>
        <w:rPr>
          <w:rFonts w:cs="Arial"/>
        </w:rPr>
        <w:t>districts</w:t>
      </w:r>
      <w:r w:rsidRPr="00AA7F8C">
        <w:rPr>
          <w:rFonts w:cs="Arial"/>
        </w:rPr>
        <w:t>, counties, and regions impacted by these activities.</w:t>
      </w:r>
    </w:p>
    <w:p w14:paraId="7C0316FB" w14:textId="77777777" w:rsidR="00935511" w:rsidRPr="00AA7F8C" w:rsidRDefault="00935511" w:rsidP="004D3DDA">
      <w:pPr>
        <w:ind w:left="720"/>
        <w:rPr>
          <w:rFonts w:cs="Arial"/>
        </w:rPr>
      </w:pPr>
      <w:r w:rsidRPr="00AA7F8C">
        <w:rPr>
          <w:rFonts w:cs="Arial"/>
        </w:rPr>
        <w:t>If the grantee does not provide the required reports to the CDE</w:t>
      </w:r>
      <w:r>
        <w:rPr>
          <w:rFonts w:cs="Arial"/>
        </w:rPr>
        <w:t xml:space="preserve"> and the CCEE</w:t>
      </w:r>
      <w:r w:rsidRPr="00AA7F8C">
        <w:rPr>
          <w:rFonts w:cs="Arial"/>
        </w:rPr>
        <w:t xml:space="preserve">, program activities are not completed, there is a lack of participation in meetings, or there is a negative trend in the dissemination of technical assistance, </w:t>
      </w:r>
      <w:r w:rsidR="002872CC">
        <w:rPr>
          <w:rFonts w:cs="Arial"/>
        </w:rPr>
        <w:t xml:space="preserve">the CDE may halt </w:t>
      </w:r>
      <w:r w:rsidRPr="00AA7F8C">
        <w:rPr>
          <w:rFonts w:cs="Arial"/>
        </w:rPr>
        <w:t>funding</w:t>
      </w:r>
      <w:r w:rsidR="002872CC">
        <w:rPr>
          <w:rFonts w:cs="Arial"/>
        </w:rPr>
        <w:t xml:space="preserve"> at any time</w:t>
      </w:r>
      <w:r w:rsidRPr="00AA7F8C">
        <w:rPr>
          <w:rFonts w:cs="Arial"/>
        </w:rPr>
        <w:t>.</w:t>
      </w:r>
    </w:p>
    <w:p w14:paraId="1D95A43B" w14:textId="77777777" w:rsidR="00EF5C1E" w:rsidRPr="00BB29E9" w:rsidRDefault="00D27DB3" w:rsidP="00032E4D">
      <w:pPr>
        <w:pStyle w:val="Heading2"/>
        <w:numPr>
          <w:ilvl w:val="0"/>
          <w:numId w:val="56"/>
        </w:numPr>
        <w:spacing w:after="480"/>
        <w:ind w:left="360"/>
      </w:pPr>
      <w:bookmarkStart w:id="47" w:name="_Toc86663629"/>
      <w:bookmarkStart w:id="48" w:name="_Toc89072198"/>
      <w:bookmarkStart w:id="49" w:name="_Toc89072295"/>
      <w:r w:rsidRPr="00BB29E9">
        <w:lastRenderedPageBreak/>
        <w:t>A</w:t>
      </w:r>
      <w:r w:rsidR="00C8663C" w:rsidRPr="00BB29E9">
        <w:t>pplication Procedures and Processes</w:t>
      </w:r>
      <w:bookmarkEnd w:id="47"/>
      <w:bookmarkEnd w:id="48"/>
      <w:bookmarkEnd w:id="49"/>
    </w:p>
    <w:p w14:paraId="10CA2774" w14:textId="74F693E4" w:rsidR="00C7185B" w:rsidRDefault="00C7185B" w:rsidP="00032E4D">
      <w:pPr>
        <w:pStyle w:val="Heading3"/>
        <w:numPr>
          <w:ilvl w:val="1"/>
          <w:numId w:val="51"/>
        </w:numPr>
        <w:spacing w:before="0"/>
        <w:ind w:left="720"/>
      </w:pPr>
      <w:bookmarkStart w:id="50" w:name="_Toc86663630"/>
      <w:bookmarkStart w:id="51" w:name="_Toc89072199"/>
      <w:bookmarkStart w:id="52" w:name="_Toc89072296"/>
      <w:r w:rsidRPr="00AA7F8C">
        <w:t>Application Timeline</w:t>
      </w:r>
      <w:bookmarkEnd w:id="50"/>
      <w:bookmarkEnd w:id="51"/>
      <w:bookmarkEnd w:id="52"/>
    </w:p>
    <w:tbl>
      <w:tblPr>
        <w:tblStyle w:val="TableGrid"/>
        <w:tblW w:w="0" w:type="auto"/>
        <w:tblLook w:val="04A0" w:firstRow="1" w:lastRow="0" w:firstColumn="1" w:lastColumn="0" w:noHBand="0" w:noVBand="1"/>
        <w:tblDescription w:val="Application Timeline Table"/>
      </w:tblPr>
      <w:tblGrid>
        <w:gridCol w:w="4675"/>
        <w:gridCol w:w="4675"/>
      </w:tblGrid>
      <w:tr w:rsidR="0024466E" w14:paraId="788656BF" w14:textId="77777777" w:rsidTr="00DE0DCE">
        <w:trPr>
          <w:cantSplit/>
          <w:tblHeader/>
        </w:trPr>
        <w:tc>
          <w:tcPr>
            <w:tcW w:w="4675" w:type="dxa"/>
            <w:shd w:val="clear" w:color="auto" w:fill="D9D9D9" w:themeFill="background1" w:themeFillShade="D9"/>
          </w:tcPr>
          <w:p w14:paraId="4F9B5B9D" w14:textId="4995B1FA" w:rsidR="0024466E" w:rsidRPr="0024466E" w:rsidRDefault="0024466E" w:rsidP="00F05DFE">
            <w:pPr>
              <w:rPr>
                <w:b/>
              </w:rPr>
            </w:pPr>
            <w:r w:rsidRPr="0024466E">
              <w:rPr>
                <w:b/>
              </w:rPr>
              <w:t>Activity</w:t>
            </w:r>
          </w:p>
        </w:tc>
        <w:tc>
          <w:tcPr>
            <w:tcW w:w="4675" w:type="dxa"/>
            <w:shd w:val="clear" w:color="auto" w:fill="D9D9D9" w:themeFill="background1" w:themeFillShade="D9"/>
          </w:tcPr>
          <w:p w14:paraId="16168202" w14:textId="265702CC" w:rsidR="0024466E" w:rsidRPr="0024466E" w:rsidRDefault="0024466E" w:rsidP="00F05DFE">
            <w:pPr>
              <w:rPr>
                <w:b/>
              </w:rPr>
            </w:pPr>
            <w:r w:rsidRPr="0024466E">
              <w:rPr>
                <w:b/>
              </w:rPr>
              <w:t>Date</w:t>
            </w:r>
          </w:p>
        </w:tc>
      </w:tr>
      <w:tr w:rsidR="0024466E" w14:paraId="5FB73BBD" w14:textId="77777777" w:rsidTr="00702249">
        <w:trPr>
          <w:tblHeader/>
        </w:trPr>
        <w:tc>
          <w:tcPr>
            <w:tcW w:w="4675" w:type="dxa"/>
          </w:tcPr>
          <w:p w14:paraId="54BADD4A" w14:textId="46ECEEA9" w:rsidR="0024466E" w:rsidRDefault="0024466E" w:rsidP="00F05DFE">
            <w:r w:rsidRPr="00AA7F8C">
              <w:rPr>
                <w:rFonts w:cs="Arial"/>
              </w:rPr>
              <w:t>RFA Release</w:t>
            </w:r>
          </w:p>
        </w:tc>
        <w:tc>
          <w:tcPr>
            <w:tcW w:w="4675" w:type="dxa"/>
          </w:tcPr>
          <w:p w14:paraId="1FC83C1F" w14:textId="7712382F" w:rsidR="0024466E" w:rsidRDefault="0024466E" w:rsidP="00F05DFE">
            <w:r w:rsidRPr="00AA7F8C">
              <w:rPr>
                <w:rFonts w:cs="Arial"/>
              </w:rPr>
              <w:t xml:space="preserve">November </w:t>
            </w:r>
            <w:r>
              <w:rPr>
                <w:rFonts w:cs="Arial"/>
              </w:rPr>
              <w:t>29</w:t>
            </w:r>
            <w:r w:rsidRPr="00AA7F8C">
              <w:rPr>
                <w:rFonts w:cs="Arial"/>
              </w:rPr>
              <w:t>, 2021</w:t>
            </w:r>
          </w:p>
        </w:tc>
      </w:tr>
      <w:tr w:rsidR="0024466E" w14:paraId="61BFC98A" w14:textId="77777777" w:rsidTr="00702249">
        <w:trPr>
          <w:tblHeader/>
        </w:trPr>
        <w:tc>
          <w:tcPr>
            <w:tcW w:w="4675" w:type="dxa"/>
          </w:tcPr>
          <w:p w14:paraId="137BB0A2" w14:textId="0A336840" w:rsidR="0024466E" w:rsidRDefault="0024466E" w:rsidP="00F05DFE">
            <w:r w:rsidRPr="00AA7F8C">
              <w:rPr>
                <w:rFonts w:cs="Arial"/>
              </w:rPr>
              <w:t>Application Workshop Webinar</w:t>
            </w:r>
          </w:p>
        </w:tc>
        <w:tc>
          <w:tcPr>
            <w:tcW w:w="4675" w:type="dxa"/>
          </w:tcPr>
          <w:p w14:paraId="0B33EAB5" w14:textId="70B957B9" w:rsidR="0024466E" w:rsidRDefault="0024466E" w:rsidP="00F05DFE">
            <w:r>
              <w:rPr>
                <w:rFonts w:cs="Arial"/>
              </w:rPr>
              <w:t>December 1</w:t>
            </w:r>
            <w:r w:rsidRPr="00AA7F8C">
              <w:rPr>
                <w:rFonts w:cs="Arial"/>
              </w:rPr>
              <w:t>, 2021</w:t>
            </w:r>
          </w:p>
        </w:tc>
      </w:tr>
      <w:tr w:rsidR="0024466E" w14:paraId="1EA29E20" w14:textId="77777777" w:rsidTr="00702249">
        <w:trPr>
          <w:tblHeader/>
        </w:trPr>
        <w:tc>
          <w:tcPr>
            <w:tcW w:w="4675" w:type="dxa"/>
          </w:tcPr>
          <w:p w14:paraId="15A39E48" w14:textId="07981213" w:rsidR="0024466E" w:rsidRDefault="0024466E" w:rsidP="0024466E">
            <w:r w:rsidRPr="00AA7F8C">
              <w:rPr>
                <w:rFonts w:cs="Arial"/>
              </w:rPr>
              <w:t>Applications Due</w:t>
            </w:r>
          </w:p>
        </w:tc>
        <w:tc>
          <w:tcPr>
            <w:tcW w:w="4675" w:type="dxa"/>
          </w:tcPr>
          <w:p w14:paraId="40FC0041" w14:textId="0F3138B1" w:rsidR="0024466E" w:rsidRDefault="0024466E" w:rsidP="0024466E">
            <w:r>
              <w:rPr>
                <w:rFonts w:cs="Arial"/>
              </w:rPr>
              <w:t>January</w:t>
            </w:r>
            <w:r w:rsidRPr="00AA7F8C">
              <w:rPr>
                <w:rFonts w:cs="Arial"/>
              </w:rPr>
              <w:t xml:space="preserve"> </w:t>
            </w:r>
            <w:r>
              <w:rPr>
                <w:rFonts w:cs="Arial"/>
              </w:rPr>
              <w:t>28</w:t>
            </w:r>
            <w:r w:rsidRPr="00AA7F8C">
              <w:rPr>
                <w:rFonts w:cs="Arial"/>
              </w:rPr>
              <w:t>, 202</w:t>
            </w:r>
            <w:r>
              <w:rPr>
                <w:rFonts w:cs="Arial"/>
              </w:rPr>
              <w:t>2</w:t>
            </w:r>
            <w:r w:rsidRPr="00AA7F8C">
              <w:rPr>
                <w:rFonts w:cs="Arial"/>
              </w:rPr>
              <w:t>, by 4 p</w:t>
            </w:r>
            <w:r>
              <w:rPr>
                <w:rFonts w:cs="Arial"/>
              </w:rPr>
              <w:t>.</w:t>
            </w:r>
            <w:r w:rsidRPr="00AA7F8C">
              <w:rPr>
                <w:rFonts w:cs="Arial"/>
              </w:rPr>
              <w:t>m</w:t>
            </w:r>
            <w:r>
              <w:rPr>
                <w:rFonts w:cs="Arial"/>
              </w:rPr>
              <w:t>.</w:t>
            </w:r>
          </w:p>
        </w:tc>
      </w:tr>
      <w:tr w:rsidR="0024466E" w14:paraId="5FD0B2E9" w14:textId="77777777" w:rsidTr="00702249">
        <w:trPr>
          <w:tblHeader/>
        </w:trPr>
        <w:tc>
          <w:tcPr>
            <w:tcW w:w="4675" w:type="dxa"/>
          </w:tcPr>
          <w:p w14:paraId="5F98E34D" w14:textId="6C2BE2BC" w:rsidR="0024466E" w:rsidRDefault="0024466E" w:rsidP="0024466E">
            <w:r w:rsidRPr="00AA7F8C">
              <w:rPr>
                <w:rFonts w:cs="Arial"/>
              </w:rPr>
              <w:t>Intent to Award posted</w:t>
            </w:r>
          </w:p>
        </w:tc>
        <w:tc>
          <w:tcPr>
            <w:tcW w:w="4675" w:type="dxa"/>
          </w:tcPr>
          <w:p w14:paraId="0754EB3A" w14:textId="55FFFAEC" w:rsidR="0024466E" w:rsidRDefault="0024466E" w:rsidP="0024466E">
            <w:r>
              <w:rPr>
                <w:rFonts w:cs="Arial"/>
              </w:rPr>
              <w:t>March 4</w:t>
            </w:r>
            <w:r w:rsidRPr="00AA7F8C">
              <w:rPr>
                <w:rFonts w:cs="Arial"/>
              </w:rPr>
              <w:t>, 2022</w:t>
            </w:r>
          </w:p>
        </w:tc>
      </w:tr>
      <w:tr w:rsidR="0024466E" w14:paraId="2E3CE052" w14:textId="77777777" w:rsidTr="00702249">
        <w:trPr>
          <w:tblHeader/>
        </w:trPr>
        <w:tc>
          <w:tcPr>
            <w:tcW w:w="4675" w:type="dxa"/>
          </w:tcPr>
          <w:p w14:paraId="646C803D" w14:textId="0364948E" w:rsidR="0024466E" w:rsidRDefault="0024466E" w:rsidP="0024466E">
            <w:r w:rsidRPr="00AA7F8C">
              <w:rPr>
                <w:rFonts w:cs="Arial"/>
              </w:rPr>
              <w:t>Appeals Due</w:t>
            </w:r>
          </w:p>
        </w:tc>
        <w:tc>
          <w:tcPr>
            <w:tcW w:w="4675" w:type="dxa"/>
          </w:tcPr>
          <w:p w14:paraId="31809E12" w14:textId="0D9005A5" w:rsidR="0024466E" w:rsidRDefault="0024466E" w:rsidP="0024466E">
            <w:r>
              <w:rPr>
                <w:rFonts w:cs="Arial"/>
              </w:rPr>
              <w:t>March 11</w:t>
            </w:r>
            <w:r w:rsidRPr="00AA7F8C">
              <w:rPr>
                <w:rFonts w:cs="Arial"/>
              </w:rPr>
              <w:t>, 2022, by 4 p</w:t>
            </w:r>
            <w:r>
              <w:rPr>
                <w:rFonts w:cs="Arial"/>
              </w:rPr>
              <w:t>.</w:t>
            </w:r>
            <w:r w:rsidRPr="00AA7F8C">
              <w:rPr>
                <w:rFonts w:cs="Arial"/>
              </w:rPr>
              <w:t>m</w:t>
            </w:r>
            <w:r>
              <w:rPr>
                <w:rFonts w:cs="Arial"/>
              </w:rPr>
              <w:t>.</w:t>
            </w:r>
          </w:p>
        </w:tc>
      </w:tr>
      <w:tr w:rsidR="0024466E" w14:paraId="11D53EA2" w14:textId="77777777" w:rsidTr="00702249">
        <w:trPr>
          <w:tblHeader/>
        </w:trPr>
        <w:tc>
          <w:tcPr>
            <w:tcW w:w="4675" w:type="dxa"/>
          </w:tcPr>
          <w:p w14:paraId="70768413" w14:textId="24CEA7F2" w:rsidR="0024466E" w:rsidRDefault="0024466E" w:rsidP="0024466E">
            <w:r w:rsidRPr="00AA7F8C">
              <w:rPr>
                <w:rFonts w:cs="Arial"/>
              </w:rPr>
              <w:t>Final Awards Posted</w:t>
            </w:r>
          </w:p>
        </w:tc>
        <w:tc>
          <w:tcPr>
            <w:tcW w:w="4675" w:type="dxa"/>
          </w:tcPr>
          <w:p w14:paraId="0DB5C863" w14:textId="335FCB8F" w:rsidR="0024466E" w:rsidRDefault="0024466E" w:rsidP="0024466E">
            <w:r>
              <w:rPr>
                <w:rFonts w:cs="Arial"/>
              </w:rPr>
              <w:t>March 18</w:t>
            </w:r>
            <w:r w:rsidRPr="00AA7F8C">
              <w:rPr>
                <w:rFonts w:cs="Arial"/>
              </w:rPr>
              <w:t>, 2022</w:t>
            </w:r>
          </w:p>
        </w:tc>
      </w:tr>
      <w:tr w:rsidR="0024466E" w14:paraId="74DB6B15" w14:textId="77777777" w:rsidTr="00702249">
        <w:trPr>
          <w:tblHeader/>
        </w:trPr>
        <w:tc>
          <w:tcPr>
            <w:tcW w:w="4675" w:type="dxa"/>
          </w:tcPr>
          <w:p w14:paraId="7FCD2BBB" w14:textId="6D435B30" w:rsidR="0024466E" w:rsidRDefault="0024466E" w:rsidP="0024466E">
            <w:r w:rsidRPr="00AA7F8C">
              <w:rPr>
                <w:rFonts w:cs="Arial"/>
              </w:rPr>
              <w:t>Project Start Date</w:t>
            </w:r>
          </w:p>
        </w:tc>
        <w:tc>
          <w:tcPr>
            <w:tcW w:w="4675" w:type="dxa"/>
          </w:tcPr>
          <w:p w14:paraId="7D139F83" w14:textId="20A806A2" w:rsidR="0024466E" w:rsidRDefault="0024466E" w:rsidP="0024466E">
            <w:pPr>
              <w:rPr>
                <w:rFonts w:cs="Arial"/>
              </w:rPr>
            </w:pPr>
            <w:r>
              <w:rPr>
                <w:rFonts w:cs="Arial"/>
              </w:rPr>
              <w:t>April 1,</w:t>
            </w:r>
            <w:r w:rsidRPr="00AA7F8C">
              <w:rPr>
                <w:rFonts w:cs="Arial"/>
              </w:rPr>
              <w:t xml:space="preserve"> 2022</w:t>
            </w:r>
          </w:p>
        </w:tc>
      </w:tr>
      <w:tr w:rsidR="0024466E" w14:paraId="0E919E7F" w14:textId="77777777" w:rsidTr="00702249">
        <w:trPr>
          <w:tblHeader/>
        </w:trPr>
        <w:tc>
          <w:tcPr>
            <w:tcW w:w="4675" w:type="dxa"/>
          </w:tcPr>
          <w:p w14:paraId="3CD076F6" w14:textId="02F274A8" w:rsidR="0024466E" w:rsidRDefault="0024466E" w:rsidP="0024466E">
            <w:r>
              <w:rPr>
                <w:rFonts w:cs="Arial"/>
              </w:rPr>
              <w:t>Grantee Orientation</w:t>
            </w:r>
            <w:r w:rsidRPr="00AA7F8C">
              <w:rPr>
                <w:rFonts w:cs="Arial"/>
              </w:rPr>
              <w:t xml:space="preserve"> Webinar</w:t>
            </w:r>
          </w:p>
        </w:tc>
        <w:tc>
          <w:tcPr>
            <w:tcW w:w="4675" w:type="dxa"/>
          </w:tcPr>
          <w:p w14:paraId="2470985B" w14:textId="69132E05" w:rsidR="0024466E" w:rsidRDefault="0024466E" w:rsidP="0024466E">
            <w:r>
              <w:rPr>
                <w:rFonts w:cs="Arial"/>
              </w:rPr>
              <w:t>April 1,</w:t>
            </w:r>
            <w:r w:rsidRPr="00AA7F8C">
              <w:rPr>
                <w:rFonts w:cs="Arial"/>
              </w:rPr>
              <w:t xml:space="preserve"> 2022</w:t>
            </w:r>
          </w:p>
        </w:tc>
      </w:tr>
    </w:tbl>
    <w:p w14:paraId="5AAC4325" w14:textId="77777777" w:rsidR="00E26A06" w:rsidRPr="00C7185B" w:rsidRDefault="00F16152" w:rsidP="00E661FB">
      <w:pPr>
        <w:pStyle w:val="Heading3"/>
        <w:numPr>
          <w:ilvl w:val="1"/>
          <w:numId w:val="51"/>
        </w:numPr>
        <w:spacing w:before="480"/>
        <w:ind w:left="720"/>
      </w:pPr>
      <w:bookmarkStart w:id="53" w:name="_Toc89072200"/>
      <w:bookmarkStart w:id="54" w:name="_Toc89072297"/>
      <w:r w:rsidRPr="00C7185B">
        <w:t>Application Process</w:t>
      </w:r>
      <w:bookmarkEnd w:id="53"/>
      <w:bookmarkEnd w:id="54"/>
    </w:p>
    <w:p w14:paraId="1D98C1E7" w14:textId="77777777" w:rsidR="00780C5E" w:rsidRPr="00903284" w:rsidRDefault="00780C5E" w:rsidP="004D3DDA">
      <w:pPr>
        <w:ind w:left="720"/>
        <w:rPr>
          <w:sz w:val="20"/>
        </w:rPr>
      </w:pPr>
      <w:r w:rsidRPr="00C7185B">
        <w:t xml:space="preserve">In completing the application narrative, applicants should address the prompts in each section of the narrative description and refer to the </w:t>
      </w:r>
      <w:r w:rsidR="005B0CB9">
        <w:t>scoring</w:t>
      </w:r>
      <w:r w:rsidRPr="00C7185B">
        <w:t xml:space="preserve"> rubric</w:t>
      </w:r>
      <w:r w:rsidR="005B0CB9">
        <w:t xml:space="preserve"> in </w:t>
      </w:r>
      <w:r w:rsidR="00BA3874">
        <w:t xml:space="preserve">Section </w:t>
      </w:r>
      <w:r w:rsidR="005B0CB9">
        <w:t>4</w:t>
      </w:r>
      <w:r w:rsidR="00BA3874">
        <w:t>, Part C</w:t>
      </w:r>
      <w:r w:rsidR="005B0CB9">
        <w:t>.</w:t>
      </w:r>
      <w:r w:rsidRPr="00C7185B">
        <w:t xml:space="preserve"> </w:t>
      </w:r>
    </w:p>
    <w:p w14:paraId="08537E22" w14:textId="77777777" w:rsidR="00780C5E" w:rsidRPr="00C7185B" w:rsidRDefault="00780C5E" w:rsidP="004D3DDA">
      <w:pPr>
        <w:ind w:left="720"/>
      </w:pPr>
      <w:r w:rsidRPr="00C7185B">
        <w:t xml:space="preserve">The application will consist of four general types of information: </w:t>
      </w:r>
      <w:r w:rsidR="00AE2AC9">
        <w:t>(</w:t>
      </w:r>
      <w:r w:rsidRPr="00C7185B">
        <w:t xml:space="preserve">1) Applicant Information, </w:t>
      </w:r>
      <w:r w:rsidR="00AE2AC9">
        <w:t>(</w:t>
      </w:r>
      <w:r w:rsidRPr="00C7185B">
        <w:t xml:space="preserve">2) Applicant Narrative, </w:t>
      </w:r>
      <w:r w:rsidR="00AE2AC9">
        <w:t>(</w:t>
      </w:r>
      <w:r w:rsidRPr="00C7185B">
        <w:t xml:space="preserve">3) Budget Information, and </w:t>
      </w:r>
      <w:r w:rsidR="00AE2AC9">
        <w:t>(</w:t>
      </w:r>
      <w:r w:rsidRPr="00C7185B">
        <w:t xml:space="preserve">4) </w:t>
      </w:r>
      <w:r w:rsidR="005B0CB9">
        <w:t>Attachments.</w:t>
      </w:r>
    </w:p>
    <w:p w14:paraId="061A8F35" w14:textId="77777777" w:rsidR="00BB29E9" w:rsidRDefault="00780C5E" w:rsidP="004D3DDA">
      <w:pPr>
        <w:ind w:left="720"/>
      </w:pPr>
      <w:r w:rsidRPr="00BB29E9">
        <w:rPr>
          <w:b/>
        </w:rPr>
        <w:t xml:space="preserve">Applicants must submit the application by 4 p.m. on </w:t>
      </w:r>
      <w:r w:rsidR="00C7185B" w:rsidRPr="00BB29E9">
        <w:rPr>
          <w:b/>
        </w:rPr>
        <w:t xml:space="preserve">January </w:t>
      </w:r>
      <w:r w:rsidR="00494433">
        <w:rPr>
          <w:b/>
        </w:rPr>
        <w:t>28</w:t>
      </w:r>
      <w:r w:rsidRPr="00BB29E9">
        <w:rPr>
          <w:b/>
        </w:rPr>
        <w:t>, 202</w:t>
      </w:r>
      <w:r w:rsidR="00C7185B" w:rsidRPr="00BB29E9">
        <w:rPr>
          <w:b/>
        </w:rPr>
        <w:t>2</w:t>
      </w:r>
      <w:r w:rsidR="002B0AD3" w:rsidRPr="00BB29E9">
        <w:rPr>
          <w:b/>
        </w:rPr>
        <w:t>, through the online application system.</w:t>
      </w:r>
      <w:r w:rsidR="002B0AD3" w:rsidRPr="00C7185B">
        <w:t xml:space="preserve"> </w:t>
      </w:r>
    </w:p>
    <w:p w14:paraId="43F4A837" w14:textId="77777777" w:rsidR="00780C5E" w:rsidRPr="00E661FB" w:rsidRDefault="002B0AD3" w:rsidP="004D3DDA">
      <w:pPr>
        <w:ind w:left="720"/>
        <w:rPr>
          <w:b/>
        </w:rPr>
      </w:pPr>
      <w:r w:rsidRPr="00E661FB">
        <w:rPr>
          <w:b/>
        </w:rPr>
        <w:t>Note:</w:t>
      </w:r>
    </w:p>
    <w:p w14:paraId="1BE61628" w14:textId="77777777" w:rsidR="00BB29E9" w:rsidRDefault="00780C5E" w:rsidP="004D3DDA">
      <w:pPr>
        <w:pStyle w:val="ListParagraph"/>
        <w:numPr>
          <w:ilvl w:val="0"/>
          <w:numId w:val="10"/>
        </w:numPr>
        <w:ind w:left="1440"/>
      </w:pPr>
      <w:r w:rsidRPr="00C7185B">
        <w:t xml:space="preserve">The </w:t>
      </w:r>
      <w:r w:rsidR="003B509D">
        <w:t>Lead A</w:t>
      </w:r>
      <w:r w:rsidRPr="00C7185B">
        <w:t xml:space="preserve">pplicant will receive email confirmation of the information submitted. If changes need to be made, </w:t>
      </w:r>
      <w:r w:rsidR="003B509D">
        <w:t xml:space="preserve">the Lead Applicant must </w:t>
      </w:r>
      <w:r w:rsidRPr="00C7185B">
        <w:t>resubmit the entire application prior to the submission deadline.</w:t>
      </w:r>
    </w:p>
    <w:p w14:paraId="64ECBDA4" w14:textId="77777777" w:rsidR="00BB29E9" w:rsidRDefault="00780C5E" w:rsidP="004D3DDA">
      <w:pPr>
        <w:pStyle w:val="ListParagraph"/>
        <w:numPr>
          <w:ilvl w:val="0"/>
          <w:numId w:val="10"/>
        </w:numPr>
        <w:ind w:left="1440"/>
      </w:pPr>
      <w:r w:rsidRPr="00C7185B">
        <w:t>The last submitted application will be the one considered for</w:t>
      </w:r>
      <w:r w:rsidRPr="00BB29E9">
        <w:rPr>
          <w:spacing w:val="-11"/>
        </w:rPr>
        <w:t xml:space="preserve"> </w:t>
      </w:r>
      <w:r w:rsidRPr="00C7185B">
        <w:t>review.</w:t>
      </w:r>
    </w:p>
    <w:p w14:paraId="693436DC" w14:textId="77777777" w:rsidR="00BB29E9" w:rsidRDefault="00780C5E" w:rsidP="004D3DDA">
      <w:pPr>
        <w:pStyle w:val="ListParagraph"/>
        <w:numPr>
          <w:ilvl w:val="0"/>
          <w:numId w:val="10"/>
        </w:numPr>
        <w:ind w:left="1440"/>
      </w:pPr>
      <w:r w:rsidRPr="00C7185B">
        <w:t xml:space="preserve">The CDE </w:t>
      </w:r>
      <w:r w:rsidR="003B509D">
        <w:t>is</w:t>
      </w:r>
      <w:r w:rsidR="003B509D" w:rsidRPr="00C7185B">
        <w:t xml:space="preserve"> </w:t>
      </w:r>
      <w:r w:rsidRPr="00C7185B">
        <w:t>not able to modify the application information after it is</w:t>
      </w:r>
      <w:r w:rsidRPr="00BB29E9">
        <w:rPr>
          <w:spacing w:val="-1"/>
        </w:rPr>
        <w:t xml:space="preserve"> </w:t>
      </w:r>
      <w:r w:rsidRPr="00C7185B">
        <w:t>submitted.</w:t>
      </w:r>
    </w:p>
    <w:p w14:paraId="1329808C" w14:textId="77777777" w:rsidR="00780C5E" w:rsidRPr="00C7185B" w:rsidRDefault="00780C5E" w:rsidP="004D3DDA">
      <w:pPr>
        <w:pStyle w:val="ListParagraph"/>
        <w:numPr>
          <w:ilvl w:val="0"/>
          <w:numId w:val="10"/>
        </w:numPr>
        <w:ind w:left="1440"/>
      </w:pPr>
      <w:r w:rsidRPr="00C7185B">
        <w:lastRenderedPageBreak/>
        <w:t>Incomplete or late applications will not be</w:t>
      </w:r>
      <w:r w:rsidRPr="00BB29E9">
        <w:rPr>
          <w:spacing w:val="-5"/>
        </w:rPr>
        <w:t xml:space="preserve"> </w:t>
      </w:r>
      <w:r w:rsidRPr="00C7185B">
        <w:t>considered</w:t>
      </w:r>
      <w:r w:rsidR="00A04ECD" w:rsidRPr="00C7185B">
        <w:t>.</w:t>
      </w:r>
      <w:r w:rsidRPr="00BB29E9">
        <w:rPr>
          <w:rFonts w:ascii="Times New Roman" w:hAnsi="Times New Roman" w:cs="Times New Roman"/>
          <w:szCs w:val="24"/>
        </w:rPr>
        <w:t xml:space="preserve"> </w:t>
      </w:r>
    </w:p>
    <w:p w14:paraId="3A35408B" w14:textId="77777777" w:rsidR="003A2DE1" w:rsidRPr="00C7185B" w:rsidRDefault="00ED6DB2" w:rsidP="004D3DDA">
      <w:pPr>
        <w:pStyle w:val="Heading3"/>
        <w:numPr>
          <w:ilvl w:val="1"/>
          <w:numId w:val="51"/>
        </w:numPr>
        <w:ind w:left="720"/>
      </w:pPr>
      <w:bookmarkStart w:id="55" w:name="_Toc86663632"/>
      <w:bookmarkStart w:id="56" w:name="_Toc89072201"/>
      <w:bookmarkStart w:id="57" w:name="_Toc89072298"/>
      <w:r w:rsidRPr="00C7185B">
        <w:t>Application Review</w:t>
      </w:r>
      <w:bookmarkEnd w:id="55"/>
      <w:bookmarkEnd w:id="56"/>
      <w:bookmarkEnd w:id="57"/>
    </w:p>
    <w:p w14:paraId="27F9EB7D" w14:textId="77777777" w:rsidR="005D6397" w:rsidRDefault="005D6397" w:rsidP="004D3DDA">
      <w:pPr>
        <w:ind w:left="720"/>
        <w:rPr>
          <w:rFonts w:cs="Arial"/>
        </w:rPr>
      </w:pPr>
      <w:r w:rsidRPr="00AA7F8C">
        <w:rPr>
          <w:rFonts w:cs="Arial"/>
        </w:rPr>
        <w:t xml:space="preserve">Complete applications </w:t>
      </w:r>
      <w:r>
        <w:rPr>
          <w:rFonts w:cs="Arial"/>
        </w:rPr>
        <w:t xml:space="preserve">submitted by the deadline </w:t>
      </w:r>
      <w:r w:rsidRPr="00AA7F8C">
        <w:rPr>
          <w:rFonts w:cs="Arial"/>
        </w:rPr>
        <w:t xml:space="preserve">will be reviewed and evaluated by </w:t>
      </w:r>
      <w:r>
        <w:rPr>
          <w:rFonts w:cs="Arial"/>
        </w:rPr>
        <w:t>a</w:t>
      </w:r>
      <w:r w:rsidRPr="00AA7F8C">
        <w:rPr>
          <w:rFonts w:cs="Arial"/>
        </w:rPr>
        <w:t xml:space="preserve"> reading panel</w:t>
      </w:r>
      <w:r>
        <w:rPr>
          <w:rFonts w:cs="Arial"/>
        </w:rPr>
        <w:t xml:space="preserve"> of CDE and CCEE staff with expertise in literacy and PL</w:t>
      </w:r>
      <w:r w:rsidRPr="00AA7F8C">
        <w:rPr>
          <w:rFonts w:cs="Arial"/>
        </w:rPr>
        <w:t xml:space="preserve"> using the </w:t>
      </w:r>
      <w:r w:rsidR="005B0CB9">
        <w:rPr>
          <w:rFonts w:cs="Arial"/>
        </w:rPr>
        <w:t>scoring</w:t>
      </w:r>
      <w:r w:rsidRPr="00AA7F8C">
        <w:rPr>
          <w:rFonts w:cs="Arial"/>
        </w:rPr>
        <w:t xml:space="preserve"> </w:t>
      </w:r>
      <w:r w:rsidR="006A0738">
        <w:rPr>
          <w:rFonts w:cs="Arial"/>
        </w:rPr>
        <w:t>r</w:t>
      </w:r>
      <w:r w:rsidRPr="00AA7F8C">
        <w:rPr>
          <w:rFonts w:cs="Arial"/>
        </w:rPr>
        <w:t>ubric</w:t>
      </w:r>
      <w:r w:rsidR="006A0738">
        <w:rPr>
          <w:rFonts w:cs="Arial"/>
        </w:rPr>
        <w:t xml:space="preserve">. </w:t>
      </w:r>
      <w:r>
        <w:rPr>
          <w:rFonts w:cs="Arial"/>
        </w:rPr>
        <w:t>R</w:t>
      </w:r>
      <w:r w:rsidRPr="00AA7F8C">
        <w:rPr>
          <w:rFonts w:cs="Arial"/>
        </w:rPr>
        <w:t>eviewers</w:t>
      </w:r>
      <w:r>
        <w:rPr>
          <w:rFonts w:cs="Arial"/>
        </w:rPr>
        <w:t xml:space="preserve"> will certify that they</w:t>
      </w:r>
      <w:r w:rsidRPr="00AA7F8C">
        <w:rPr>
          <w:rFonts w:cs="Arial"/>
        </w:rPr>
        <w:t xml:space="preserve"> have no conflicts </w:t>
      </w:r>
      <w:r>
        <w:rPr>
          <w:rFonts w:cs="Arial"/>
        </w:rPr>
        <w:t>of interest relating to</w:t>
      </w:r>
      <w:r w:rsidRPr="00AA7F8C">
        <w:rPr>
          <w:rFonts w:cs="Arial"/>
        </w:rPr>
        <w:t xml:space="preserve"> applicants. </w:t>
      </w:r>
      <w:r>
        <w:rPr>
          <w:rFonts w:cs="Arial"/>
        </w:rPr>
        <w:t>Members of the r</w:t>
      </w:r>
      <w:r w:rsidRPr="0007636C">
        <w:rPr>
          <w:rFonts w:cs="Arial"/>
        </w:rPr>
        <w:t xml:space="preserve">eading </w:t>
      </w:r>
      <w:r>
        <w:rPr>
          <w:rFonts w:cs="Arial"/>
        </w:rPr>
        <w:t>panel</w:t>
      </w:r>
      <w:r w:rsidRPr="0007636C">
        <w:rPr>
          <w:rFonts w:cs="Arial"/>
        </w:rPr>
        <w:t xml:space="preserve"> will be instructed to take a holistic approach in the application review process to rank and evaluate </w:t>
      </w:r>
      <w:r>
        <w:rPr>
          <w:rFonts w:cs="Arial"/>
        </w:rPr>
        <w:t>each</w:t>
      </w:r>
      <w:r w:rsidRPr="0007636C">
        <w:rPr>
          <w:rFonts w:cs="Arial"/>
        </w:rPr>
        <w:t xml:space="preserve"> application. The readers will make every effort to allow any part of the narrative to satisfy the evaluation points in the</w:t>
      </w:r>
      <w:r w:rsidRPr="0007636C">
        <w:rPr>
          <w:rFonts w:cs="Arial"/>
          <w:spacing w:val="-4"/>
        </w:rPr>
        <w:t xml:space="preserve"> </w:t>
      </w:r>
      <w:r w:rsidRPr="0007636C">
        <w:rPr>
          <w:rFonts w:cs="Arial"/>
        </w:rPr>
        <w:t>rubric.</w:t>
      </w:r>
    </w:p>
    <w:p w14:paraId="39CBEFD4" w14:textId="77777777" w:rsidR="005D6397" w:rsidRDefault="003B509D" w:rsidP="004D3DDA">
      <w:pPr>
        <w:ind w:left="720"/>
        <w:rPr>
          <w:rFonts w:cs="Arial"/>
        </w:rPr>
      </w:pPr>
      <w:r w:rsidRPr="00C7185B">
        <w:t xml:space="preserve">Each applicant will receive a single score. </w:t>
      </w:r>
      <w:r w:rsidR="005D6397" w:rsidRPr="00AA7F8C">
        <w:rPr>
          <w:rFonts w:cs="Arial"/>
        </w:rPr>
        <w:t>Although scores from the review of the applications are important, they are not the sole determiners for funding.</w:t>
      </w:r>
      <w:bookmarkStart w:id="58" w:name="D._Technical_Assistance"/>
      <w:bookmarkEnd w:id="58"/>
      <w:r w:rsidR="005D6397" w:rsidRPr="00AA7F8C">
        <w:rPr>
          <w:rFonts w:cs="Arial"/>
        </w:rPr>
        <w:t xml:space="preserve"> When selecting projects to award, the panelists will consider statutory requirements that prioritize the use of grant funds over a broad geographical area to implement evidence-based activities</w:t>
      </w:r>
      <w:r w:rsidR="005D6397">
        <w:rPr>
          <w:rFonts w:cs="Arial"/>
        </w:rPr>
        <w:t xml:space="preserve"> that serve a diverse range of students, with a particular emphasis on how the successful applicant ensures the resources and activities provided will directly impact teachers and students in classrooms across the state</w:t>
      </w:r>
      <w:r w:rsidR="005D6397" w:rsidRPr="00AA7F8C">
        <w:rPr>
          <w:rFonts w:cs="Arial"/>
        </w:rPr>
        <w:t>. Applicants may be invited to interview with CDE</w:t>
      </w:r>
      <w:r w:rsidR="005D6397">
        <w:rPr>
          <w:rFonts w:cs="Arial"/>
        </w:rPr>
        <w:t>, SBE,</w:t>
      </w:r>
      <w:r w:rsidR="005D6397" w:rsidRPr="00AA7F8C">
        <w:rPr>
          <w:rFonts w:cs="Arial"/>
        </w:rPr>
        <w:t xml:space="preserve"> and/or CCEE staff as part of the selection process. All costs associated with the interviews will be the responsibility of the applicant.</w:t>
      </w:r>
    </w:p>
    <w:p w14:paraId="5FBC748D" w14:textId="77777777" w:rsidR="005D6397" w:rsidRPr="00BB29E9" w:rsidRDefault="005D6397" w:rsidP="00E661FB">
      <w:pPr>
        <w:spacing w:after="480"/>
        <w:ind w:left="720"/>
        <w:rPr>
          <w:rFonts w:cs="Arial"/>
        </w:rPr>
      </w:pPr>
      <w:r w:rsidRPr="00286174">
        <w:rPr>
          <w:szCs w:val="24"/>
        </w:rPr>
        <w:t xml:space="preserve">The proposed awardee is subject to approval by the executive director of the </w:t>
      </w:r>
      <w:r w:rsidR="003B509D">
        <w:rPr>
          <w:szCs w:val="24"/>
        </w:rPr>
        <w:t>SBE</w:t>
      </w:r>
      <w:r w:rsidRPr="00286174">
        <w:rPr>
          <w:szCs w:val="24"/>
        </w:rPr>
        <w:t>.</w:t>
      </w:r>
      <w:r w:rsidRPr="00AA7F8C">
        <w:rPr>
          <w:rFonts w:cs="Arial"/>
        </w:rPr>
        <w:t xml:space="preserve"> The CDE reserves the right to not make an award if no application submitted meets the </w:t>
      </w:r>
      <w:r w:rsidRPr="00BB29E9">
        <w:rPr>
          <w:rFonts w:cs="Arial"/>
        </w:rPr>
        <w:t>requirements of this RFA.</w:t>
      </w:r>
    </w:p>
    <w:p w14:paraId="5BD02B93" w14:textId="75B70744" w:rsidR="00ED6DB2" w:rsidRPr="000F41CD" w:rsidRDefault="00ED6DB2" w:rsidP="009D7000">
      <w:pPr>
        <w:pStyle w:val="Heading3"/>
        <w:numPr>
          <w:ilvl w:val="1"/>
          <w:numId w:val="51"/>
        </w:numPr>
        <w:ind w:left="720"/>
      </w:pPr>
      <w:bookmarkStart w:id="59" w:name="_Toc89072202"/>
      <w:bookmarkStart w:id="60" w:name="_Toc89072299"/>
      <w:r w:rsidRPr="000F41CD">
        <w:t>Technical Assi</w:t>
      </w:r>
      <w:r w:rsidR="00CB7251" w:rsidRPr="000F41CD">
        <w:t>s</w:t>
      </w:r>
      <w:r w:rsidRPr="000F41CD">
        <w:t>tance</w:t>
      </w:r>
      <w:bookmarkEnd w:id="59"/>
      <w:bookmarkEnd w:id="60"/>
    </w:p>
    <w:p w14:paraId="5C2484E3" w14:textId="2F204713" w:rsidR="00C7185B" w:rsidRPr="00AA7F8C" w:rsidRDefault="00C7185B" w:rsidP="00E661FB">
      <w:pPr>
        <w:spacing w:after="480"/>
        <w:ind w:left="720"/>
        <w:rPr>
          <w:rFonts w:cs="Arial"/>
        </w:rPr>
      </w:pPr>
      <w:r w:rsidRPr="00AA7F8C">
        <w:rPr>
          <w:rFonts w:cs="Arial"/>
        </w:rPr>
        <w:t>C</w:t>
      </w:r>
      <w:r>
        <w:rPr>
          <w:rFonts w:cs="Arial"/>
        </w:rPr>
        <w:t>D</w:t>
      </w:r>
      <w:r w:rsidRPr="00AA7F8C">
        <w:rPr>
          <w:rFonts w:cs="Arial"/>
        </w:rPr>
        <w:t xml:space="preserve">E staff will conduct </w:t>
      </w:r>
      <w:r>
        <w:rPr>
          <w:rFonts w:cs="Arial"/>
        </w:rPr>
        <w:t>a virtual</w:t>
      </w:r>
      <w:r w:rsidRPr="00AA7F8C">
        <w:rPr>
          <w:rFonts w:cs="Arial"/>
        </w:rPr>
        <w:t xml:space="preserve"> application information session to provide an overview of the RFA and offer potential applicants </w:t>
      </w:r>
      <w:r>
        <w:rPr>
          <w:rFonts w:cs="Arial"/>
        </w:rPr>
        <w:t>the</w:t>
      </w:r>
      <w:r w:rsidRPr="00AA7F8C">
        <w:rPr>
          <w:rFonts w:cs="Arial"/>
        </w:rPr>
        <w:t xml:space="preserve"> opportunity to ask clarifying questions. The date and time of the RII information session </w:t>
      </w:r>
      <w:r w:rsidRPr="002F5B95">
        <w:rPr>
          <w:rFonts w:cs="Arial"/>
        </w:rPr>
        <w:t xml:space="preserve">is </w:t>
      </w:r>
      <w:r w:rsidR="00BB29E9">
        <w:rPr>
          <w:rFonts w:cs="Arial"/>
          <w:b/>
        </w:rPr>
        <w:t>December 1</w:t>
      </w:r>
      <w:r w:rsidRPr="00107304">
        <w:rPr>
          <w:rFonts w:cs="Arial"/>
          <w:b/>
        </w:rPr>
        <w:t>, 2021, 3:30 p.m. to 4:30 p.m.</w:t>
      </w:r>
      <w:r w:rsidRPr="00107304">
        <w:rPr>
          <w:rFonts w:cs="Arial"/>
        </w:rPr>
        <w:t xml:space="preserve"> Register </w:t>
      </w:r>
      <w:r w:rsidR="00F84BF2">
        <w:rPr>
          <w:rFonts w:cs="Arial"/>
        </w:rPr>
        <w:t>on the</w:t>
      </w:r>
      <w:r w:rsidRPr="00107304">
        <w:rPr>
          <w:rFonts w:cs="Arial"/>
        </w:rPr>
        <w:t xml:space="preserve"> </w:t>
      </w:r>
      <w:bookmarkStart w:id="61" w:name="_Hlk88647042"/>
      <w:r w:rsidR="00F84BF2">
        <w:t>RII</w:t>
      </w:r>
      <w:r w:rsidR="00F84BF2" w:rsidRPr="005D6397">
        <w:t xml:space="preserve"> RFA</w:t>
      </w:r>
      <w:bookmarkEnd w:id="61"/>
      <w:r w:rsidR="00F84BF2">
        <w:t xml:space="preserve"> </w:t>
      </w:r>
      <w:r w:rsidR="00F84BF2" w:rsidRPr="005D6397">
        <w:t xml:space="preserve">web page </w:t>
      </w:r>
      <w:r w:rsidR="00F84BF2">
        <w:t xml:space="preserve">on the CDE website </w:t>
      </w:r>
      <w:r w:rsidR="00F84BF2" w:rsidRPr="005D6397">
        <w:t>at</w:t>
      </w:r>
      <w:r w:rsidR="003B102C">
        <w:t xml:space="preserve"> </w:t>
      </w:r>
      <w:hyperlink r:id="rId39" w:tooltip="RII RFA webpage" w:history="1">
        <w:r w:rsidR="00921747" w:rsidRPr="00CE153B">
          <w:rPr>
            <w:rStyle w:val="Hyperlink"/>
          </w:rPr>
          <w:t>https://www.cde.ca.gov/fg/fo/r12/rii21rfa.asp</w:t>
        </w:r>
      </w:hyperlink>
      <w:r w:rsidR="00E319EE">
        <w:rPr>
          <w:rFonts w:eastAsia="Times New Roman" w:cs="Arial"/>
          <w:szCs w:val="24"/>
        </w:rPr>
        <w:t xml:space="preserve">. </w:t>
      </w:r>
    </w:p>
    <w:p w14:paraId="000AD42E" w14:textId="77777777" w:rsidR="00ED6DB2" w:rsidRPr="00BB29E9" w:rsidRDefault="00522055" w:rsidP="00100076">
      <w:pPr>
        <w:pStyle w:val="Heading3"/>
        <w:numPr>
          <w:ilvl w:val="1"/>
          <w:numId w:val="51"/>
        </w:numPr>
        <w:spacing w:before="0"/>
        <w:ind w:left="720"/>
      </w:pPr>
      <w:bookmarkStart w:id="62" w:name="_Toc86663633"/>
      <w:bookmarkStart w:id="63" w:name="_Toc89072203"/>
      <w:bookmarkStart w:id="64" w:name="_Toc89072300"/>
      <w:r w:rsidRPr="00BB29E9">
        <w:t>Appeals Process</w:t>
      </w:r>
      <w:bookmarkEnd w:id="62"/>
      <w:bookmarkEnd w:id="63"/>
      <w:bookmarkEnd w:id="64"/>
    </w:p>
    <w:p w14:paraId="3A7AA8C6" w14:textId="77777777" w:rsidR="00903E00" w:rsidRDefault="00E82541" w:rsidP="00903E00">
      <w:pPr>
        <w:spacing w:after="0"/>
        <w:ind w:left="720"/>
        <w:rPr>
          <w:rFonts w:cs="Arial"/>
          <w:b/>
        </w:rPr>
      </w:pPr>
      <w:r w:rsidRPr="00AA7F8C">
        <w:rPr>
          <w:rFonts w:cs="Arial"/>
        </w:rPr>
        <w:t>The CDE must receive request</w:t>
      </w:r>
      <w:r>
        <w:rPr>
          <w:rFonts w:cs="Arial"/>
        </w:rPr>
        <w:t>s</w:t>
      </w:r>
      <w:r w:rsidRPr="00AA7F8C">
        <w:rPr>
          <w:rFonts w:cs="Arial"/>
        </w:rPr>
        <w:t xml:space="preserve"> for appeal no later than </w:t>
      </w:r>
      <w:r w:rsidRPr="00AA7F8C">
        <w:rPr>
          <w:rFonts w:cs="Arial"/>
          <w:b/>
        </w:rPr>
        <w:t xml:space="preserve">4 p.m. on </w:t>
      </w:r>
    </w:p>
    <w:p w14:paraId="0EA99963" w14:textId="79D5177D" w:rsidR="00E82541" w:rsidRPr="00AA7F8C" w:rsidRDefault="00494433" w:rsidP="004D3DDA">
      <w:pPr>
        <w:ind w:left="720"/>
        <w:rPr>
          <w:rFonts w:cs="Arial"/>
          <w:b/>
        </w:rPr>
      </w:pPr>
      <w:r>
        <w:rPr>
          <w:rFonts w:cs="Arial"/>
          <w:b/>
        </w:rPr>
        <w:t>March 11</w:t>
      </w:r>
      <w:r w:rsidR="00E82541" w:rsidRPr="00AA7F8C">
        <w:rPr>
          <w:rFonts w:cs="Arial"/>
          <w:b/>
        </w:rPr>
        <w:t>, 2022.</w:t>
      </w:r>
      <w:r w:rsidR="00E82541" w:rsidRPr="00AA7F8C">
        <w:rPr>
          <w:rFonts w:cs="Arial"/>
        </w:rPr>
        <w:t xml:space="preserve"> Only the </w:t>
      </w:r>
      <w:r w:rsidR="00E82541">
        <w:rPr>
          <w:rFonts w:cs="Arial"/>
        </w:rPr>
        <w:t>L</w:t>
      </w:r>
      <w:r w:rsidR="00E82541" w:rsidRPr="00AA7F8C">
        <w:rPr>
          <w:rFonts w:cs="Arial"/>
        </w:rPr>
        <w:t xml:space="preserve">ead </w:t>
      </w:r>
      <w:r w:rsidR="00E82541">
        <w:rPr>
          <w:rFonts w:cs="Arial"/>
        </w:rPr>
        <w:t>A</w:t>
      </w:r>
      <w:r w:rsidR="00E82541" w:rsidRPr="00AA7F8C">
        <w:rPr>
          <w:rFonts w:cs="Arial"/>
        </w:rPr>
        <w:t xml:space="preserve">pplicant may electronically submit an appeal via the link on the </w:t>
      </w:r>
      <w:bookmarkStart w:id="65" w:name="_Hlk88647089"/>
      <w:r w:rsidR="00F84BF2">
        <w:t>RII</w:t>
      </w:r>
      <w:r w:rsidR="00F84BF2" w:rsidRPr="005D6397">
        <w:t xml:space="preserve"> RFA</w:t>
      </w:r>
      <w:r w:rsidR="00F84BF2">
        <w:t xml:space="preserve"> </w:t>
      </w:r>
      <w:r w:rsidR="00F84BF2" w:rsidRPr="005D6397">
        <w:t xml:space="preserve">web page </w:t>
      </w:r>
      <w:bookmarkEnd w:id="65"/>
      <w:r w:rsidR="00F84BF2">
        <w:t xml:space="preserve">on the CDE website </w:t>
      </w:r>
      <w:r w:rsidR="00F84BF2" w:rsidRPr="005D6397">
        <w:t xml:space="preserve">at </w:t>
      </w:r>
      <w:hyperlink r:id="rId40" w:tooltip="RII RFA web page " w:history="1">
        <w:r w:rsidR="00921747" w:rsidRPr="00CE153B">
          <w:rPr>
            <w:rStyle w:val="Hyperlink"/>
          </w:rPr>
          <w:t>https://www.cde.ca.gov/fg/fo/r12/rii21rfa.asp</w:t>
        </w:r>
      </w:hyperlink>
      <w:r w:rsidR="00E319EE">
        <w:rPr>
          <w:rFonts w:eastAsia="Times New Roman" w:cs="Arial"/>
          <w:szCs w:val="24"/>
        </w:rPr>
        <w:t xml:space="preserve">. </w:t>
      </w:r>
      <w:r w:rsidR="00E82541" w:rsidRPr="00AA7F8C">
        <w:rPr>
          <w:rFonts w:cs="Arial"/>
        </w:rPr>
        <w:t xml:space="preserve">Appeals submitted via means other than the electronic link will </w:t>
      </w:r>
      <w:r w:rsidR="00E82541" w:rsidRPr="00AA7F8C">
        <w:rPr>
          <w:rFonts w:cs="Arial"/>
          <w:b/>
        </w:rPr>
        <w:t>not</w:t>
      </w:r>
      <w:r w:rsidR="00E82541" w:rsidRPr="00AA7F8C">
        <w:rPr>
          <w:rFonts w:cs="Arial"/>
        </w:rPr>
        <w:t xml:space="preserve"> be accepted.</w:t>
      </w:r>
    </w:p>
    <w:p w14:paraId="1B6E29D5" w14:textId="77777777" w:rsidR="00E82541" w:rsidRPr="00AA7F8C" w:rsidRDefault="00E82541" w:rsidP="00E661FB">
      <w:pPr>
        <w:spacing w:after="480"/>
        <w:ind w:left="720"/>
        <w:rPr>
          <w:rFonts w:cs="Arial"/>
        </w:rPr>
      </w:pPr>
      <w:r w:rsidRPr="00AA7F8C">
        <w:rPr>
          <w:rFonts w:cs="Arial"/>
        </w:rPr>
        <w:t xml:space="preserve">Appeals shall be limited to the grounds that the CDE failed to </w:t>
      </w:r>
      <w:r w:rsidRPr="00AA7F8C">
        <w:rPr>
          <w:rFonts w:cs="Arial"/>
          <w:b/>
        </w:rPr>
        <w:t xml:space="preserve">correctly apply the standards for reviewing the application </w:t>
      </w:r>
      <w:r w:rsidRPr="00AA7F8C">
        <w:rPr>
          <w:rFonts w:cs="Arial"/>
        </w:rPr>
        <w:t xml:space="preserve">as specified in this RFA. The appellant must file a full and complete written appeal, include the issue(s) in </w:t>
      </w:r>
      <w:r w:rsidRPr="00AA7F8C">
        <w:rPr>
          <w:rFonts w:cs="Arial"/>
        </w:rPr>
        <w:lastRenderedPageBreak/>
        <w:t>dispute, the legal authority or other basis for the appeal position, and the remedy sought. The CDE will not consider incomplete or late appeals. The appellant may not supply any new information that was not contained in the original application. A final decision will be provided in writing within 10 business days from the date that appeals are due to the CDE for this specific RFA.</w:t>
      </w:r>
    </w:p>
    <w:p w14:paraId="6C479310" w14:textId="77777777" w:rsidR="00226248" w:rsidRPr="005D6397" w:rsidRDefault="00226248" w:rsidP="00903E00">
      <w:pPr>
        <w:pStyle w:val="Heading3"/>
        <w:numPr>
          <w:ilvl w:val="1"/>
          <w:numId w:val="51"/>
        </w:numPr>
        <w:spacing w:before="0"/>
        <w:ind w:left="720"/>
      </w:pPr>
      <w:bookmarkStart w:id="66" w:name="_Toc86663634"/>
      <w:bookmarkStart w:id="67" w:name="_Toc89072204"/>
      <w:bookmarkStart w:id="68" w:name="_Toc89072301"/>
      <w:r w:rsidRPr="005D6397">
        <w:t>Grant Award Notification</w:t>
      </w:r>
      <w:bookmarkEnd w:id="66"/>
      <w:bookmarkEnd w:id="67"/>
      <w:bookmarkEnd w:id="68"/>
    </w:p>
    <w:p w14:paraId="10E1BFFB" w14:textId="77777777" w:rsidR="005D6397" w:rsidRDefault="005D6397" w:rsidP="004D3DDA">
      <w:pPr>
        <w:ind w:left="720"/>
        <w:rPr>
          <w:rFonts w:cs="Arial"/>
        </w:rPr>
      </w:pPr>
      <w:bookmarkStart w:id="69" w:name="_Hlk84344868"/>
      <w:r w:rsidRPr="00AA7F8C">
        <w:rPr>
          <w:rFonts w:cs="Arial"/>
        </w:rPr>
        <w:t>The applicant selected for funding will receive a Grant Award Notification (GAN) (CDE Form AO-400), the official CDE document that awards funds to local projects. The grantee must sign and return the GAN to the CDE before</w:t>
      </w:r>
      <w:r>
        <w:rPr>
          <w:rFonts w:cs="Arial"/>
        </w:rPr>
        <w:t xml:space="preserve"> funds are</w:t>
      </w:r>
      <w:r w:rsidRPr="00AA7F8C">
        <w:rPr>
          <w:rFonts w:cs="Arial"/>
        </w:rPr>
        <w:t xml:space="preserve"> disburse</w:t>
      </w:r>
      <w:r>
        <w:rPr>
          <w:rFonts w:cs="Arial"/>
        </w:rPr>
        <w:t>d</w:t>
      </w:r>
      <w:r w:rsidRPr="00AA7F8C">
        <w:rPr>
          <w:rFonts w:cs="Arial"/>
        </w:rPr>
        <w:t>.</w:t>
      </w:r>
    </w:p>
    <w:p w14:paraId="3F8EBAB4" w14:textId="77777777" w:rsidR="005D6397" w:rsidRPr="00AA7F8C" w:rsidRDefault="005D6397" w:rsidP="00E661FB">
      <w:pPr>
        <w:spacing w:after="480"/>
        <w:ind w:left="720"/>
        <w:rPr>
          <w:rFonts w:cs="Arial"/>
        </w:rPr>
      </w:pPr>
      <w:r w:rsidRPr="00286174">
        <w:rPr>
          <w:szCs w:val="24"/>
        </w:rPr>
        <w:t>The proposed awarde</w:t>
      </w:r>
      <w:r w:rsidR="007452B5">
        <w:rPr>
          <w:szCs w:val="24"/>
        </w:rPr>
        <w:t>e</w:t>
      </w:r>
      <w:r w:rsidRPr="00286174">
        <w:rPr>
          <w:szCs w:val="24"/>
        </w:rPr>
        <w:t xml:space="preserve"> is subject to approval by the executive director of the </w:t>
      </w:r>
      <w:r w:rsidR="00493023">
        <w:rPr>
          <w:szCs w:val="24"/>
        </w:rPr>
        <w:t>SBE</w:t>
      </w:r>
      <w:r w:rsidRPr="00286174">
        <w:rPr>
          <w:szCs w:val="24"/>
        </w:rPr>
        <w:t>.</w:t>
      </w:r>
      <w:r w:rsidRPr="00AA7F8C">
        <w:rPr>
          <w:rFonts w:cs="Arial"/>
        </w:rPr>
        <w:t xml:space="preserve"> The CDE reserves the right to not make an award if no application submitted meets the requirements of this RFA.</w:t>
      </w:r>
    </w:p>
    <w:p w14:paraId="619D5FE8" w14:textId="77777777" w:rsidR="00226248" w:rsidRPr="005D6397" w:rsidRDefault="00226248" w:rsidP="004D3DDA">
      <w:pPr>
        <w:pStyle w:val="Heading3"/>
        <w:numPr>
          <w:ilvl w:val="1"/>
          <w:numId w:val="51"/>
        </w:numPr>
        <w:ind w:left="720"/>
      </w:pPr>
      <w:bookmarkStart w:id="70" w:name="_Toc86663635"/>
      <w:bookmarkStart w:id="71" w:name="_Toc89072205"/>
      <w:bookmarkStart w:id="72" w:name="_Toc89072302"/>
      <w:bookmarkEnd w:id="69"/>
      <w:r w:rsidRPr="005D6397">
        <w:t>Assurances, Certifications, Terms, and Conditions</w:t>
      </w:r>
      <w:bookmarkEnd w:id="70"/>
      <w:bookmarkEnd w:id="71"/>
      <w:bookmarkEnd w:id="72"/>
    </w:p>
    <w:p w14:paraId="6D754349" w14:textId="77777777" w:rsidR="005D6397" w:rsidRDefault="005D6397" w:rsidP="00E661FB">
      <w:pPr>
        <w:spacing w:after="480"/>
        <w:ind w:left="720"/>
        <w:rPr>
          <w:rFonts w:cs="Arial"/>
        </w:rPr>
      </w:pPr>
      <w:r>
        <w:rPr>
          <w:rFonts w:cs="Arial"/>
        </w:rPr>
        <w:t>The selected awardee</w:t>
      </w:r>
      <w:r w:rsidRPr="00AA7F8C">
        <w:rPr>
          <w:rFonts w:cs="Arial"/>
        </w:rPr>
        <w:t xml:space="preserve"> may be requested to revise budgets prior to </w:t>
      </w:r>
      <w:r>
        <w:rPr>
          <w:rFonts w:cs="Arial"/>
        </w:rPr>
        <w:t xml:space="preserve">receiving a grant </w:t>
      </w:r>
      <w:r w:rsidRPr="00AA7F8C">
        <w:rPr>
          <w:rFonts w:cs="Arial"/>
        </w:rPr>
        <w:t xml:space="preserve">award. Following final program and budget negotiations, </w:t>
      </w:r>
      <w:r>
        <w:rPr>
          <w:rFonts w:cs="Arial"/>
        </w:rPr>
        <w:t>funds</w:t>
      </w:r>
      <w:r w:rsidRPr="00AA7F8C">
        <w:rPr>
          <w:rFonts w:cs="Arial"/>
        </w:rPr>
        <w:t xml:space="preserve"> will be issued </w:t>
      </w:r>
      <w:r>
        <w:rPr>
          <w:rFonts w:cs="Arial"/>
        </w:rPr>
        <w:t>only</w:t>
      </w:r>
      <w:r w:rsidRPr="00AA7F8C">
        <w:rPr>
          <w:rFonts w:cs="Arial"/>
        </w:rPr>
        <w:t xml:space="preserve"> after a signed agreement on the terms of the award has been received by the CDE. </w:t>
      </w:r>
    </w:p>
    <w:p w14:paraId="46A338F6" w14:textId="77777777" w:rsidR="00226248" w:rsidRPr="005D6397" w:rsidRDefault="00226248" w:rsidP="00F546BD">
      <w:pPr>
        <w:pStyle w:val="Heading4"/>
      </w:pPr>
      <w:r w:rsidRPr="005D6397">
        <w:t>Assurances and Certifications</w:t>
      </w:r>
    </w:p>
    <w:p w14:paraId="7ECD0F81" w14:textId="77777777" w:rsidR="005D6397" w:rsidRPr="00AA7F8C" w:rsidRDefault="005D6397" w:rsidP="00903E00">
      <w:pPr>
        <w:ind w:left="720"/>
        <w:rPr>
          <w:rFonts w:cs="Arial"/>
        </w:rPr>
      </w:pPr>
      <w:bookmarkStart w:id="73" w:name="_Hlk86142218"/>
      <w:r w:rsidRPr="00AA7F8C">
        <w:rPr>
          <w:rFonts w:cs="Arial"/>
        </w:rPr>
        <w:t xml:space="preserve">The </w:t>
      </w:r>
      <w:r>
        <w:rPr>
          <w:rFonts w:cs="Arial"/>
        </w:rPr>
        <w:t>s</w:t>
      </w:r>
      <w:r w:rsidRPr="00AA7F8C">
        <w:rPr>
          <w:rFonts w:cs="Arial"/>
        </w:rPr>
        <w:t xml:space="preserve">uperintendent of the </w:t>
      </w:r>
      <w:r>
        <w:rPr>
          <w:rFonts w:cs="Arial"/>
        </w:rPr>
        <w:t>LEA</w:t>
      </w:r>
      <w:r w:rsidRPr="00AA7F8C">
        <w:rPr>
          <w:rFonts w:cs="Arial"/>
        </w:rPr>
        <w:t xml:space="preserve">, acting as the fiscal agent, </w:t>
      </w:r>
      <w:bookmarkEnd w:id="73"/>
      <w:r w:rsidRPr="00AA7F8C">
        <w:rPr>
          <w:rFonts w:cs="Arial"/>
        </w:rPr>
        <w:t xml:space="preserve">must agree to Form </w:t>
      </w:r>
      <w:r>
        <w:rPr>
          <w:rFonts w:cs="Arial"/>
        </w:rPr>
        <w:t>A</w:t>
      </w:r>
      <w:r w:rsidRPr="00AA7F8C">
        <w:rPr>
          <w:rFonts w:cs="Arial"/>
        </w:rPr>
        <w:t xml:space="preserve">: </w:t>
      </w:r>
      <w:r w:rsidR="005D4A73">
        <w:rPr>
          <w:rFonts w:cs="Arial"/>
        </w:rPr>
        <w:t>RII Lead Applicant</w:t>
      </w:r>
      <w:r w:rsidRPr="00AA7F8C">
        <w:rPr>
          <w:rFonts w:cs="Arial"/>
        </w:rPr>
        <w:t xml:space="preserve"> Statement of Assurances.</w:t>
      </w:r>
      <w:r>
        <w:rPr>
          <w:rFonts w:cs="Arial"/>
        </w:rPr>
        <w:t xml:space="preserve"> </w:t>
      </w:r>
      <w:r w:rsidRPr="00AA7F8C">
        <w:rPr>
          <w:rFonts w:cs="Arial"/>
        </w:rPr>
        <w:t>Applicants do not need to sign and return the general assurances and certifications with the application. Instead, applicants must download assurances and certifications and keep</w:t>
      </w:r>
      <w:r w:rsidR="0032111D">
        <w:rPr>
          <w:rFonts w:cs="Arial"/>
        </w:rPr>
        <w:t xml:space="preserve"> them</w:t>
      </w:r>
      <w:r w:rsidRPr="00AA7F8C">
        <w:rPr>
          <w:rFonts w:cs="Arial"/>
        </w:rPr>
        <w:t xml:space="preserve"> on file and available for compliance reviews, complaint investigations, or audits.</w:t>
      </w:r>
    </w:p>
    <w:p w14:paraId="1BD8B569" w14:textId="59EE1D04" w:rsidR="005D6397" w:rsidRPr="00AA7F8C" w:rsidRDefault="005D6397" w:rsidP="00E661FB">
      <w:pPr>
        <w:spacing w:after="480"/>
        <w:ind w:left="720"/>
        <w:rPr>
          <w:rFonts w:cs="Arial"/>
        </w:rPr>
      </w:pPr>
      <w:r w:rsidRPr="00AA7F8C">
        <w:rPr>
          <w:rFonts w:cs="Arial"/>
        </w:rPr>
        <w:t xml:space="preserve">General assurances and certifications are available on the CDE Funding Forms web page at </w:t>
      </w:r>
      <w:hyperlink r:id="rId41" w:tooltip="General Assurances and Certifications on the CDE website" w:history="1">
        <w:r w:rsidRPr="00AA7F8C">
          <w:rPr>
            <w:rStyle w:val="Hyperlink"/>
            <w:rFonts w:cs="Arial"/>
          </w:rPr>
          <w:t>https://www.cde.ca.gov/fg/fo/fm/ff.asp</w:t>
        </w:r>
      </w:hyperlink>
      <w:r w:rsidRPr="00AA7F8C">
        <w:rPr>
          <w:rFonts w:cs="Arial"/>
        </w:rPr>
        <w:t>.</w:t>
      </w:r>
    </w:p>
    <w:p w14:paraId="63B44633" w14:textId="77777777" w:rsidR="00A548C0" w:rsidRPr="00BB29E9" w:rsidRDefault="00A548C0" w:rsidP="00F546BD">
      <w:pPr>
        <w:pStyle w:val="Heading4"/>
      </w:pPr>
      <w:r w:rsidRPr="00BB29E9">
        <w:t>Terms and Conditions</w:t>
      </w:r>
    </w:p>
    <w:p w14:paraId="15F5F031" w14:textId="77777777" w:rsidR="005D6397" w:rsidRPr="00AA7F8C" w:rsidRDefault="005D6397" w:rsidP="0068077F">
      <w:pPr>
        <w:ind w:left="720"/>
        <w:rPr>
          <w:rFonts w:cs="Arial"/>
        </w:rPr>
      </w:pPr>
      <w:r w:rsidRPr="00AA7F8C">
        <w:rPr>
          <w:rFonts w:cs="Arial"/>
        </w:rPr>
        <w:t xml:space="preserve">The grant award will be processed upon receipt of the signed GAN. The GAN must be signed by the authorized </w:t>
      </w:r>
      <w:r w:rsidR="00D62794">
        <w:rPr>
          <w:rFonts w:cs="Arial"/>
        </w:rPr>
        <w:t xml:space="preserve">fiscal </w:t>
      </w:r>
      <w:r w:rsidRPr="00AA7F8C">
        <w:rPr>
          <w:rFonts w:cs="Arial"/>
        </w:rPr>
        <w:t>agent and returned to the CDE within 10 working days of receipt.</w:t>
      </w:r>
    </w:p>
    <w:p w14:paraId="170C3D3A" w14:textId="77777777" w:rsidR="005D6397" w:rsidRPr="00AA7F8C" w:rsidRDefault="005D6397" w:rsidP="0068077F">
      <w:pPr>
        <w:ind w:left="720"/>
        <w:rPr>
          <w:rFonts w:cs="Arial"/>
        </w:rPr>
      </w:pPr>
      <w:r w:rsidRPr="00AA7F8C">
        <w:rPr>
          <w:rFonts w:cs="Arial"/>
        </w:rPr>
        <w:t xml:space="preserve">All funds must be expended or legally obligated by the end of each fiscal year, beginning with the 2021–22 fiscal year, and for not more than the maximum amount indicated on the GAN. Encumbrances may be made at any time after the </w:t>
      </w:r>
      <w:r w:rsidRPr="00AA7F8C">
        <w:rPr>
          <w:rFonts w:cs="Arial"/>
        </w:rPr>
        <w:lastRenderedPageBreak/>
        <w:t>beginning date of the grant stated on the GAN. No extensions of this grant will be allowed.</w:t>
      </w:r>
    </w:p>
    <w:p w14:paraId="4B95A11A" w14:textId="77777777" w:rsidR="005D6397" w:rsidRPr="00AA7F8C" w:rsidRDefault="005D6397" w:rsidP="007534E2">
      <w:pPr>
        <w:ind w:left="720"/>
        <w:rPr>
          <w:rFonts w:cs="Arial"/>
        </w:rPr>
      </w:pPr>
      <w:r w:rsidRPr="00AA7F8C">
        <w:rPr>
          <w:rFonts w:cs="Arial"/>
        </w:rPr>
        <w:t>A budget revision is required if expenditures for any budget category exceed 10 percent of the authorized budget item total in the approved budget. The budget revision must be approved by the CDE before expenditures are made.</w:t>
      </w:r>
    </w:p>
    <w:p w14:paraId="465243C7" w14:textId="77777777" w:rsidR="005D6397" w:rsidRPr="00AA7F8C" w:rsidRDefault="005D6397" w:rsidP="007534E2">
      <w:pPr>
        <w:ind w:left="720"/>
        <w:rPr>
          <w:rFonts w:cs="Arial"/>
        </w:rPr>
      </w:pPr>
      <w:r w:rsidRPr="00AA7F8C">
        <w:rPr>
          <w:rFonts w:cs="Arial"/>
        </w:rPr>
        <w:t xml:space="preserve">The budgets should display annual implementation showing how the grant will be used to </w:t>
      </w:r>
      <w:bookmarkStart w:id="74" w:name="_Hlk16173199"/>
      <w:r w:rsidRPr="00AA7F8C">
        <w:rPr>
          <w:rFonts w:cs="Arial"/>
        </w:rPr>
        <w:t xml:space="preserve">fulfil the goals and responsibilities </w:t>
      </w:r>
      <w:r>
        <w:rPr>
          <w:rFonts w:cs="Arial"/>
        </w:rPr>
        <w:t xml:space="preserve">described </w:t>
      </w:r>
      <w:r w:rsidRPr="00AA7F8C">
        <w:rPr>
          <w:rFonts w:cs="Arial"/>
        </w:rPr>
        <w:t xml:space="preserve">within the RFA in a manner that aligns with the Statewide </w:t>
      </w:r>
      <w:proofErr w:type="spellStart"/>
      <w:r w:rsidRPr="00AA7F8C">
        <w:rPr>
          <w:rFonts w:cs="Arial"/>
        </w:rPr>
        <w:t>SoS</w:t>
      </w:r>
      <w:proofErr w:type="spellEnd"/>
      <w:r>
        <w:rPr>
          <w:rFonts w:cs="Arial"/>
        </w:rPr>
        <w:t xml:space="preserve">, the SLP, </w:t>
      </w:r>
      <w:r w:rsidRPr="00AA7F8C">
        <w:rPr>
          <w:rFonts w:cs="Arial"/>
        </w:rPr>
        <w:t>and</w:t>
      </w:r>
      <w:r>
        <w:rPr>
          <w:rFonts w:cs="Arial"/>
        </w:rPr>
        <w:t xml:space="preserve"> the</w:t>
      </w:r>
      <w:r w:rsidRPr="00AA7F8C">
        <w:rPr>
          <w:rFonts w:cs="Arial"/>
        </w:rPr>
        <w:t xml:space="preserve"> QPLS. </w:t>
      </w:r>
      <w:bookmarkEnd w:id="74"/>
      <w:r w:rsidRPr="00AA7F8C">
        <w:rPr>
          <w:rFonts w:cs="Arial"/>
        </w:rPr>
        <w:t xml:space="preserve">Proposed expenditures must demonstrate appropriate use of state funds. </w:t>
      </w:r>
    </w:p>
    <w:p w14:paraId="5CFF0142" w14:textId="77777777" w:rsidR="005D6397" w:rsidRPr="005D6397" w:rsidRDefault="005D6397" w:rsidP="00E661FB">
      <w:pPr>
        <w:spacing w:after="480"/>
        <w:ind w:left="720"/>
        <w:rPr>
          <w:rFonts w:cs="Arial"/>
        </w:rPr>
      </w:pPr>
      <w:r w:rsidRPr="00AA7F8C">
        <w:rPr>
          <w:rFonts w:cs="Arial"/>
          <w:b/>
        </w:rPr>
        <w:t>Note:</w:t>
      </w:r>
      <w:r w:rsidRPr="00AA7F8C">
        <w:rPr>
          <w:rFonts w:cs="Arial"/>
        </w:rPr>
        <w:t xml:space="preserve"> Funding requested for purchases over $5,000 in Capital Outlay, Category 6000, </w:t>
      </w:r>
      <w:r w:rsidRPr="005D6397">
        <w:rPr>
          <w:rFonts w:cs="Arial"/>
        </w:rPr>
        <w:t>requires approval by the CDE.</w:t>
      </w:r>
    </w:p>
    <w:p w14:paraId="3DE02442" w14:textId="77777777" w:rsidR="007F720E" w:rsidRPr="005D6397" w:rsidRDefault="007F720E" w:rsidP="00E661FB">
      <w:pPr>
        <w:pStyle w:val="Heading2"/>
        <w:numPr>
          <w:ilvl w:val="0"/>
          <w:numId w:val="70"/>
        </w:numPr>
        <w:ind w:left="360"/>
      </w:pPr>
      <w:bookmarkStart w:id="75" w:name="_Toc86663636"/>
      <w:bookmarkStart w:id="76" w:name="_Toc89072206"/>
      <w:bookmarkStart w:id="77" w:name="_Toc89072303"/>
      <w:r w:rsidRPr="005D6397">
        <w:t>Program Application</w:t>
      </w:r>
      <w:bookmarkEnd w:id="75"/>
      <w:bookmarkEnd w:id="76"/>
      <w:bookmarkEnd w:id="77"/>
    </w:p>
    <w:p w14:paraId="5ADBC54D" w14:textId="294AE02C" w:rsidR="007F720E" w:rsidRPr="00791137" w:rsidRDefault="007F720E" w:rsidP="00A151DE">
      <w:pPr>
        <w:spacing w:after="480"/>
        <w:ind w:left="360"/>
        <w:rPr>
          <w:rFonts w:cs="Arial"/>
          <w:szCs w:val="24"/>
        </w:rPr>
      </w:pPr>
      <w:r w:rsidRPr="005D6397">
        <w:t>A complete application is submitted electronicall</w:t>
      </w:r>
      <w:r w:rsidR="00C22D8D" w:rsidRPr="005D6397">
        <w:t xml:space="preserve">y </w:t>
      </w:r>
      <w:r w:rsidR="003B5956" w:rsidRPr="005D6397">
        <w:t xml:space="preserve">through the </w:t>
      </w:r>
      <w:r w:rsidR="005D6397" w:rsidRPr="005D6397">
        <w:t xml:space="preserve">RII </w:t>
      </w:r>
      <w:r w:rsidR="00063988">
        <w:t>Grant</w:t>
      </w:r>
      <w:r w:rsidR="00E55186">
        <w:t xml:space="preserve"> </w:t>
      </w:r>
      <w:r w:rsidR="003B5956" w:rsidRPr="005D6397">
        <w:t>Application, a link to which will be available on the</w:t>
      </w:r>
      <w:r w:rsidR="00FD17E8">
        <w:t xml:space="preserve"> RII</w:t>
      </w:r>
      <w:r w:rsidR="003B5956" w:rsidRPr="005D6397">
        <w:t xml:space="preserve"> RFA</w:t>
      </w:r>
      <w:r w:rsidR="00FD17E8">
        <w:t xml:space="preserve"> </w:t>
      </w:r>
      <w:r w:rsidR="003B5956" w:rsidRPr="005D6397">
        <w:t xml:space="preserve">web page </w:t>
      </w:r>
      <w:r w:rsidR="00063988">
        <w:t xml:space="preserve">on the CDE website </w:t>
      </w:r>
      <w:r w:rsidR="003B5956" w:rsidRPr="005D6397">
        <w:t xml:space="preserve">at </w:t>
      </w:r>
      <w:hyperlink r:id="rId42" w:tooltip="RII RFA web page" w:history="1">
        <w:r w:rsidR="003B102C" w:rsidRPr="003B102C">
          <w:rPr>
            <w:rStyle w:val="Hyperlink"/>
          </w:rPr>
          <w:t>http://www.cde.ca.gov/fg/fo/r12/rii21rfa.asp</w:t>
        </w:r>
      </w:hyperlink>
      <w:r w:rsidR="00224B13" w:rsidRPr="00224B13">
        <w:rPr>
          <w:rStyle w:val="normaltextrun"/>
          <w:color w:val="0000FF"/>
          <w:shd w:val="clear" w:color="auto" w:fill="FFFFFF"/>
        </w:rPr>
        <w:t xml:space="preserve"> </w:t>
      </w:r>
      <w:r w:rsidR="003B5956" w:rsidRPr="005D6397">
        <w:t>shortly after the RFA is released</w:t>
      </w:r>
      <w:r w:rsidR="00C22D8D" w:rsidRPr="005D6397">
        <w:t xml:space="preserve">. </w:t>
      </w:r>
      <w:r w:rsidR="00C22D8D" w:rsidRPr="006A0738">
        <w:t xml:space="preserve">See </w:t>
      </w:r>
      <w:r w:rsidR="002A6A37" w:rsidRPr="006A0738">
        <w:t xml:space="preserve">Appendix </w:t>
      </w:r>
      <w:r w:rsidR="006A0738" w:rsidRPr="006A0738">
        <w:t>A</w:t>
      </w:r>
      <w:r w:rsidRPr="006A0738">
        <w:t xml:space="preserve"> for</w:t>
      </w:r>
      <w:r w:rsidRPr="005D6397">
        <w:t xml:space="preserve"> instructions.</w:t>
      </w:r>
      <w:r w:rsidR="002E7D52" w:rsidRPr="005D6397">
        <w:t xml:space="preserve"> Through the online application,</w:t>
      </w:r>
      <w:r w:rsidRPr="005D6397">
        <w:t xml:space="preserve"> </w:t>
      </w:r>
      <w:r w:rsidR="002E7D52" w:rsidRPr="005D6397">
        <w:t>a</w:t>
      </w:r>
      <w:r w:rsidRPr="005D6397">
        <w:t xml:space="preserve">pplicants must attach supporting evidence, </w:t>
      </w:r>
      <w:r w:rsidR="002E7D52" w:rsidRPr="005D6397">
        <w:t>including the proposed</w:t>
      </w:r>
      <w:r w:rsidRPr="005D6397">
        <w:t xml:space="preserve"> budget</w:t>
      </w:r>
      <w:r w:rsidR="006A0738">
        <w:t>, project timeline,</w:t>
      </w:r>
      <w:r w:rsidRPr="005D6397">
        <w:t xml:space="preserve"> and letters of commitment.</w:t>
      </w:r>
    </w:p>
    <w:p w14:paraId="3C2D0632" w14:textId="77777777" w:rsidR="007F720E" w:rsidRPr="00D75FB9" w:rsidRDefault="007F720E" w:rsidP="004D3DDA">
      <w:pPr>
        <w:pStyle w:val="Heading3"/>
        <w:numPr>
          <w:ilvl w:val="0"/>
          <w:numId w:val="12"/>
        </w:numPr>
        <w:ind w:left="720"/>
      </w:pPr>
      <w:bookmarkStart w:id="78" w:name="_Toc86663637"/>
      <w:bookmarkStart w:id="79" w:name="_Toc89072207"/>
      <w:bookmarkStart w:id="80" w:name="_Toc89072304"/>
      <w:r w:rsidRPr="00D75FB9">
        <w:t>Application Narrative</w:t>
      </w:r>
      <w:bookmarkEnd w:id="78"/>
      <w:bookmarkEnd w:id="79"/>
      <w:bookmarkEnd w:id="80"/>
    </w:p>
    <w:p w14:paraId="2653833C" w14:textId="77777777" w:rsidR="004A61FF" w:rsidRPr="00D75FB9" w:rsidRDefault="00F632CE" w:rsidP="00E661FB">
      <w:pPr>
        <w:autoSpaceDE w:val="0"/>
        <w:autoSpaceDN w:val="0"/>
        <w:adjustRightInd w:val="0"/>
        <w:ind w:left="720"/>
      </w:pPr>
      <w:r w:rsidRPr="00770ACC">
        <w:rPr>
          <w:rFonts w:cs="Arial"/>
          <w:szCs w:val="24"/>
        </w:rPr>
        <w:t>Successful applicants must be able to demonstrate that their proposed project is conceptually clear, technically feasible,</w:t>
      </w:r>
      <w:r w:rsidR="00063988">
        <w:rPr>
          <w:rFonts w:cs="Arial"/>
          <w:szCs w:val="24"/>
        </w:rPr>
        <w:t xml:space="preserve"> sustainable,</w:t>
      </w:r>
      <w:r w:rsidRPr="00770ACC">
        <w:rPr>
          <w:rFonts w:cs="Arial"/>
          <w:szCs w:val="24"/>
        </w:rPr>
        <w:t xml:space="preserve"> </w:t>
      </w:r>
      <w:r w:rsidR="00063988">
        <w:rPr>
          <w:rFonts w:cs="Arial"/>
          <w:szCs w:val="24"/>
        </w:rPr>
        <w:t xml:space="preserve">scalable, </w:t>
      </w:r>
      <w:r w:rsidRPr="00770ACC">
        <w:rPr>
          <w:rFonts w:cs="Arial"/>
          <w:szCs w:val="24"/>
        </w:rPr>
        <w:t>and leads or contributes to a culture of continuous improvement after the grant period.</w:t>
      </w:r>
      <w:r w:rsidR="00493023">
        <w:t xml:space="preserve"> </w:t>
      </w:r>
      <w:r w:rsidR="004A61FF" w:rsidRPr="00D75FB9">
        <w:t>To complete the narrative:</w:t>
      </w:r>
    </w:p>
    <w:p w14:paraId="6CDE4AD1" w14:textId="77777777" w:rsidR="002C37B0" w:rsidRPr="00F534AA" w:rsidRDefault="002C37B0" w:rsidP="00F93018">
      <w:pPr>
        <w:pStyle w:val="ListParagraph"/>
        <w:numPr>
          <w:ilvl w:val="0"/>
          <w:numId w:val="13"/>
        </w:numPr>
        <w:rPr>
          <w:szCs w:val="24"/>
        </w:rPr>
      </w:pPr>
      <w:r w:rsidRPr="00F534AA">
        <w:rPr>
          <w:szCs w:val="24"/>
        </w:rPr>
        <w:t>Address the prompts for the sections</w:t>
      </w:r>
      <w:r w:rsidRPr="00F534AA">
        <w:rPr>
          <w:spacing w:val="-7"/>
          <w:szCs w:val="24"/>
        </w:rPr>
        <w:t xml:space="preserve"> </w:t>
      </w:r>
      <w:r w:rsidRPr="00F534AA">
        <w:rPr>
          <w:szCs w:val="24"/>
        </w:rPr>
        <w:t>below</w:t>
      </w:r>
      <w:r w:rsidR="0002161B" w:rsidRPr="00F534AA">
        <w:rPr>
          <w:szCs w:val="24"/>
        </w:rPr>
        <w:t>;</w:t>
      </w:r>
    </w:p>
    <w:p w14:paraId="26E932B5" w14:textId="77777777" w:rsidR="002C37B0" w:rsidRPr="006A0738" w:rsidRDefault="002C37B0" w:rsidP="00F93018">
      <w:pPr>
        <w:pStyle w:val="ListParagraph"/>
        <w:numPr>
          <w:ilvl w:val="0"/>
          <w:numId w:val="13"/>
        </w:numPr>
      </w:pPr>
      <w:r w:rsidRPr="729DFDC8">
        <w:t xml:space="preserve">Refer to the scoring rubric in </w:t>
      </w:r>
      <w:r w:rsidR="4DB4EB5F" w:rsidRPr="729DFDC8">
        <w:t>Part C</w:t>
      </w:r>
      <w:r w:rsidRPr="729DFDC8">
        <w:t xml:space="preserve"> to understand how responses will be evaluated by the reading</w:t>
      </w:r>
      <w:r w:rsidRPr="006A0738">
        <w:rPr>
          <w:spacing w:val="-4"/>
          <w:szCs w:val="24"/>
        </w:rPr>
        <w:t xml:space="preserve"> </w:t>
      </w:r>
      <w:r w:rsidRPr="729DFDC8">
        <w:t>panel</w:t>
      </w:r>
      <w:r w:rsidR="0002161B" w:rsidRPr="006A0738">
        <w:rPr>
          <w:szCs w:val="24"/>
        </w:rPr>
        <w:t>;</w:t>
      </w:r>
      <w:r w:rsidRPr="729DFDC8">
        <w:t xml:space="preserve"> and </w:t>
      </w:r>
    </w:p>
    <w:p w14:paraId="5B4B0A1E" w14:textId="77777777" w:rsidR="002C37B0" w:rsidRPr="006A0738" w:rsidRDefault="002C37B0" w:rsidP="00E661FB">
      <w:pPr>
        <w:pStyle w:val="ListParagraph"/>
        <w:numPr>
          <w:ilvl w:val="0"/>
          <w:numId w:val="13"/>
        </w:numPr>
        <w:spacing w:after="480"/>
        <w:rPr>
          <w:szCs w:val="24"/>
        </w:rPr>
      </w:pPr>
      <w:r w:rsidRPr="006A0738">
        <w:rPr>
          <w:szCs w:val="24"/>
        </w:rPr>
        <w:t xml:space="preserve">Follow all application </w:t>
      </w:r>
      <w:r w:rsidR="006A0738" w:rsidRPr="006A0738">
        <w:rPr>
          <w:szCs w:val="24"/>
        </w:rPr>
        <w:t>instructions in Appendix A</w:t>
      </w:r>
      <w:r w:rsidRPr="006A0738">
        <w:rPr>
          <w:szCs w:val="24"/>
        </w:rPr>
        <w:t>.</w:t>
      </w:r>
    </w:p>
    <w:p w14:paraId="68CFFBDC" w14:textId="77777777" w:rsidR="008B191E" w:rsidRPr="00370A2E" w:rsidRDefault="008B191E" w:rsidP="00F546BD">
      <w:pPr>
        <w:pStyle w:val="Heading4"/>
      </w:pPr>
      <w:bookmarkStart w:id="81" w:name="_Toc83900977"/>
      <w:bookmarkStart w:id="82" w:name="_Toc86663638"/>
      <w:bookmarkStart w:id="83" w:name="_Toc86663946"/>
      <w:r w:rsidRPr="00370A2E">
        <w:t>Part 1—</w:t>
      </w:r>
      <w:bookmarkEnd w:id="81"/>
      <w:r w:rsidR="00E42FA2" w:rsidRPr="00370A2E">
        <w:rPr>
          <w:rFonts w:eastAsia="Times New Roman"/>
        </w:rPr>
        <w:t>Capacity and Program Facilitation</w:t>
      </w:r>
      <w:bookmarkEnd w:id="82"/>
      <w:bookmarkEnd w:id="83"/>
    </w:p>
    <w:p w14:paraId="0DFE1465" w14:textId="77777777" w:rsidR="002E3E3E" w:rsidRPr="00F534AA" w:rsidRDefault="002E3E3E" w:rsidP="002E3E3E">
      <w:pPr>
        <w:pStyle w:val="NormalWeb"/>
        <w:spacing w:before="0" w:beforeAutospacing="0" w:after="240" w:afterAutospacing="0"/>
        <w:ind w:left="720"/>
      </w:pPr>
      <w:r w:rsidRPr="00F534AA">
        <w:rPr>
          <w:rFonts w:ascii="Arial" w:hAnsi="Arial" w:cs="Arial"/>
          <w:color w:val="000000"/>
        </w:rPr>
        <w:t xml:space="preserve">Applicants must demonstrate current subject matter expertise and qualifications to provide </w:t>
      </w:r>
      <w:r w:rsidR="00EA539C">
        <w:rPr>
          <w:rFonts w:ascii="Arial" w:hAnsi="Arial" w:cs="Arial"/>
          <w:color w:val="000000"/>
        </w:rPr>
        <w:t>PL</w:t>
      </w:r>
      <w:r w:rsidRPr="00F534AA">
        <w:rPr>
          <w:rFonts w:ascii="Arial" w:hAnsi="Arial" w:cs="Arial"/>
          <w:color w:val="000000"/>
        </w:rPr>
        <w:t xml:space="preserve"> opportunities to educators</w:t>
      </w:r>
      <w:r w:rsidR="00EA539C">
        <w:rPr>
          <w:rFonts w:ascii="Arial" w:hAnsi="Arial" w:cs="Arial"/>
          <w:color w:val="000000"/>
        </w:rPr>
        <w:t>, including teachers and paraprofessionals,</w:t>
      </w:r>
      <w:r w:rsidRPr="00F534AA">
        <w:rPr>
          <w:rFonts w:ascii="Arial" w:hAnsi="Arial" w:cs="Arial"/>
          <w:color w:val="000000"/>
        </w:rPr>
        <w:t xml:space="preserve"> and </w:t>
      </w:r>
      <w:r w:rsidRPr="006A0738">
        <w:rPr>
          <w:rFonts w:ascii="Arial" w:hAnsi="Arial" w:cs="Arial"/>
          <w:color w:val="000000"/>
        </w:rPr>
        <w:t>school leaders in public schools in a manner that aligns with the work referenced in</w:t>
      </w:r>
      <w:r w:rsidR="006A0738">
        <w:rPr>
          <w:rFonts w:ascii="Arial" w:hAnsi="Arial" w:cs="Arial"/>
          <w:color w:val="000000"/>
        </w:rPr>
        <w:t xml:space="preserve"> Section 2 of this RFA.</w:t>
      </w:r>
    </w:p>
    <w:p w14:paraId="676128A0" w14:textId="77777777" w:rsidR="002E3E3E" w:rsidRPr="00F534AA" w:rsidRDefault="002E3E3E" w:rsidP="00F93018">
      <w:pPr>
        <w:pStyle w:val="ListParagraph"/>
        <w:numPr>
          <w:ilvl w:val="0"/>
          <w:numId w:val="13"/>
        </w:numPr>
        <w:spacing w:before="240"/>
        <w:rPr>
          <w:rFonts w:ascii="Times New Roman" w:eastAsia="Times New Roman" w:hAnsi="Times New Roman" w:cs="Times New Roman"/>
          <w:szCs w:val="24"/>
        </w:rPr>
      </w:pPr>
      <w:r w:rsidRPr="00F534AA">
        <w:rPr>
          <w:rFonts w:eastAsia="Times New Roman" w:cs="Arial"/>
          <w:color w:val="000000"/>
          <w:szCs w:val="24"/>
        </w:rPr>
        <w:lastRenderedPageBreak/>
        <w:t xml:space="preserve">Describe the applicant’s previous experience and/or expertise in developing and delivering high-quality </w:t>
      </w:r>
      <w:r w:rsidR="00EA539C">
        <w:rPr>
          <w:rFonts w:eastAsia="Times New Roman" w:cs="Arial"/>
          <w:color w:val="000000"/>
          <w:szCs w:val="24"/>
        </w:rPr>
        <w:t>PL</w:t>
      </w:r>
      <w:r w:rsidRPr="00F534AA">
        <w:rPr>
          <w:rFonts w:eastAsia="Times New Roman" w:cs="Arial"/>
          <w:color w:val="000000"/>
          <w:szCs w:val="24"/>
        </w:rPr>
        <w:t xml:space="preserve"> for school leaders, including principals and teacher leaders, to lead evidence-based reading instruction for diverse learners, EL students, pupils with disabilities, and pupils with dyslexia.</w:t>
      </w:r>
    </w:p>
    <w:p w14:paraId="15607C56" w14:textId="77777777" w:rsidR="002E3E3E" w:rsidRPr="00F534AA" w:rsidRDefault="002E3E3E" w:rsidP="00F93018">
      <w:pPr>
        <w:pStyle w:val="ListParagraph"/>
        <w:numPr>
          <w:ilvl w:val="0"/>
          <w:numId w:val="13"/>
        </w:numPr>
        <w:spacing w:before="240"/>
        <w:rPr>
          <w:rFonts w:ascii="Times New Roman" w:eastAsia="Times New Roman" w:hAnsi="Times New Roman" w:cs="Times New Roman"/>
          <w:szCs w:val="24"/>
        </w:rPr>
      </w:pPr>
      <w:r w:rsidRPr="00F534AA">
        <w:rPr>
          <w:rFonts w:eastAsia="Times New Roman" w:cs="Arial"/>
          <w:color w:val="000000"/>
          <w:szCs w:val="24"/>
        </w:rPr>
        <w:t xml:space="preserve">Describe the applicant’s previous experience and/or expertise in developing and delivering high-quality </w:t>
      </w:r>
      <w:r w:rsidR="00EA539C">
        <w:rPr>
          <w:rFonts w:eastAsia="Times New Roman" w:cs="Arial"/>
          <w:color w:val="000000"/>
          <w:szCs w:val="24"/>
        </w:rPr>
        <w:t>PL</w:t>
      </w:r>
      <w:r w:rsidRPr="00F534AA">
        <w:rPr>
          <w:rFonts w:eastAsia="Times New Roman" w:cs="Arial"/>
          <w:color w:val="000000"/>
          <w:szCs w:val="24"/>
        </w:rPr>
        <w:t xml:space="preserve"> for educators, including teachers and paraprofessionals, to develop knowledge and skills for appropriate use of screening strategies and evidence-based literacy instruction</w:t>
      </w:r>
      <w:r w:rsidR="00F167B0">
        <w:rPr>
          <w:rFonts w:eastAsia="Times New Roman" w:cs="Arial"/>
          <w:color w:val="000000"/>
          <w:szCs w:val="24"/>
        </w:rPr>
        <w:t>, including biliteracy instruction,</w:t>
      </w:r>
      <w:r w:rsidRPr="00F534AA">
        <w:rPr>
          <w:rFonts w:eastAsia="Times New Roman" w:cs="Arial"/>
          <w:color w:val="000000"/>
          <w:szCs w:val="24"/>
        </w:rPr>
        <w:t xml:space="preserve"> for diverse learners.</w:t>
      </w:r>
    </w:p>
    <w:p w14:paraId="318EAC89" w14:textId="77777777" w:rsidR="002E3E3E" w:rsidRPr="00F534AA" w:rsidRDefault="002E3E3E" w:rsidP="00F93018">
      <w:pPr>
        <w:pStyle w:val="ListParagraph"/>
        <w:numPr>
          <w:ilvl w:val="0"/>
          <w:numId w:val="13"/>
        </w:numPr>
        <w:spacing w:before="240"/>
        <w:rPr>
          <w:rFonts w:ascii="Times New Roman" w:eastAsia="Times New Roman" w:hAnsi="Times New Roman" w:cs="Times New Roman"/>
          <w:szCs w:val="24"/>
        </w:rPr>
      </w:pPr>
      <w:r w:rsidRPr="00F534AA">
        <w:rPr>
          <w:rFonts w:eastAsia="Times New Roman" w:cs="Arial"/>
          <w:color w:val="000000"/>
          <w:szCs w:val="24"/>
        </w:rPr>
        <w:t xml:space="preserve">Describe the applicant’s previous experience and/or expertise in developing and delivering high-quality </w:t>
      </w:r>
      <w:r w:rsidR="00EA539C">
        <w:rPr>
          <w:rFonts w:eastAsia="Times New Roman" w:cs="Arial"/>
          <w:color w:val="000000"/>
          <w:szCs w:val="24"/>
        </w:rPr>
        <w:t>PL</w:t>
      </w:r>
      <w:r w:rsidRPr="00F534AA">
        <w:rPr>
          <w:rFonts w:eastAsia="Times New Roman" w:cs="Arial"/>
          <w:color w:val="000000"/>
          <w:szCs w:val="24"/>
        </w:rPr>
        <w:t xml:space="preserve"> for educators, including teachers and paraprofessionals, to implement evidence-based intensive intervention strategies for pupils struggling with literacy, including tutoring and small group strategies, and strategies for target pupil groups.</w:t>
      </w:r>
    </w:p>
    <w:p w14:paraId="497DCD93" w14:textId="77777777" w:rsidR="002E3E3E" w:rsidRPr="00F534AA" w:rsidRDefault="002E3E3E" w:rsidP="00A151DE">
      <w:pPr>
        <w:pStyle w:val="ListParagraph"/>
        <w:numPr>
          <w:ilvl w:val="0"/>
          <w:numId w:val="13"/>
        </w:numPr>
        <w:spacing w:after="480"/>
        <w:rPr>
          <w:rFonts w:ascii="Times New Roman" w:eastAsia="Times New Roman" w:hAnsi="Times New Roman" w:cs="Times New Roman"/>
          <w:szCs w:val="24"/>
        </w:rPr>
      </w:pPr>
      <w:r w:rsidRPr="00F534AA">
        <w:rPr>
          <w:rFonts w:eastAsia="Times New Roman" w:cs="Arial"/>
          <w:color w:val="000000"/>
          <w:szCs w:val="24"/>
        </w:rPr>
        <w:t xml:space="preserve">Describe the applicant’s previous experience and/or expertise in developing and delivering high-quality </w:t>
      </w:r>
      <w:r w:rsidR="00EA539C">
        <w:rPr>
          <w:rFonts w:eastAsia="Times New Roman" w:cs="Arial"/>
          <w:color w:val="000000"/>
          <w:szCs w:val="24"/>
        </w:rPr>
        <w:t>PL</w:t>
      </w:r>
      <w:r w:rsidRPr="00F534AA">
        <w:rPr>
          <w:rFonts w:eastAsia="Times New Roman" w:cs="Arial"/>
          <w:color w:val="000000"/>
          <w:szCs w:val="24"/>
        </w:rPr>
        <w:t xml:space="preserve"> for all educators, including support staff, to implement evidence-based strategies to support the development of pupils’ executive functioning skills required for reading and oral language comprehension, fluency, and phonemic awareness.</w:t>
      </w:r>
    </w:p>
    <w:p w14:paraId="7A445704" w14:textId="77777777" w:rsidR="002D1708" w:rsidRPr="00F534AA" w:rsidRDefault="00E42FA2" w:rsidP="00F546BD">
      <w:pPr>
        <w:pStyle w:val="Heading4"/>
      </w:pPr>
      <w:r>
        <w:t xml:space="preserve">Part </w:t>
      </w:r>
      <w:r w:rsidR="00A65AC6">
        <w:t>2</w:t>
      </w:r>
      <w:r w:rsidRPr="00F534AA">
        <w:t>—</w:t>
      </w:r>
      <w:r w:rsidR="002D1708" w:rsidRPr="00F534AA">
        <w:t>Project Plan</w:t>
      </w:r>
    </w:p>
    <w:p w14:paraId="2ACB33C2" w14:textId="77777777" w:rsidR="00304209" w:rsidRPr="00B10754" w:rsidRDefault="00304209" w:rsidP="00531896">
      <w:pPr>
        <w:pStyle w:val="NormalWeb"/>
        <w:numPr>
          <w:ilvl w:val="0"/>
          <w:numId w:val="13"/>
        </w:numPr>
        <w:spacing w:before="0" w:beforeAutospacing="0" w:after="240" w:afterAutospacing="0"/>
        <w:rPr>
          <w:rFonts w:ascii="Arial" w:hAnsi="Arial" w:cs="Arial"/>
        </w:rPr>
      </w:pPr>
      <w:r w:rsidRPr="00304209">
        <w:rPr>
          <w:rFonts w:ascii="Arial" w:hAnsi="Arial" w:cs="Arial"/>
        </w:rPr>
        <w:t>Provide an overview of the project plan, describing how the applicant will use the funding to generate and disseminate PL opportunities</w:t>
      </w:r>
      <w:r w:rsidR="00551EED">
        <w:rPr>
          <w:rFonts w:ascii="Arial" w:hAnsi="Arial" w:cs="Arial"/>
        </w:rPr>
        <w:t xml:space="preserve"> </w:t>
      </w:r>
      <w:r w:rsidRPr="00304209">
        <w:rPr>
          <w:rFonts w:ascii="Arial" w:hAnsi="Arial" w:cs="Arial"/>
        </w:rPr>
        <w:t xml:space="preserve">for educators </w:t>
      </w:r>
      <w:r w:rsidR="00551EED">
        <w:rPr>
          <w:rFonts w:ascii="Arial" w:hAnsi="Arial" w:cs="Arial"/>
        </w:rPr>
        <w:t xml:space="preserve">across the state </w:t>
      </w:r>
      <w:r w:rsidRPr="00304209">
        <w:rPr>
          <w:rFonts w:ascii="Arial" w:hAnsi="Arial" w:cs="Arial"/>
        </w:rPr>
        <w:t>in the areas of evidence-based literacy</w:t>
      </w:r>
      <w:r w:rsidR="00EA539C">
        <w:rPr>
          <w:rFonts w:ascii="Arial" w:hAnsi="Arial" w:cs="Arial"/>
        </w:rPr>
        <w:t xml:space="preserve"> instruction</w:t>
      </w:r>
      <w:r w:rsidRPr="00304209">
        <w:rPr>
          <w:rFonts w:ascii="Arial" w:hAnsi="Arial" w:cs="Arial"/>
        </w:rPr>
        <w:t>, intensive literacy interventions, and support of pupils’ executive functioning skills</w:t>
      </w:r>
      <w:r w:rsidR="008E35DB">
        <w:rPr>
          <w:rFonts w:ascii="Arial" w:hAnsi="Arial" w:cs="Arial"/>
        </w:rPr>
        <w:t xml:space="preserve">, particularly in the context of </w:t>
      </w:r>
      <w:r w:rsidR="008E35DB" w:rsidRPr="00201380">
        <w:rPr>
          <w:rFonts w:ascii="Arial" w:hAnsi="Arial" w:cs="Arial"/>
          <w:color w:val="000000"/>
        </w:rPr>
        <w:t xml:space="preserve">accelerated learning </w:t>
      </w:r>
      <w:r w:rsidR="008E35DB">
        <w:rPr>
          <w:rFonts w:ascii="Arial" w:hAnsi="Arial" w:cs="Arial"/>
          <w:color w:val="000000"/>
        </w:rPr>
        <w:t>post-pandemic</w:t>
      </w:r>
      <w:r w:rsidR="008E35DB" w:rsidRPr="00201380">
        <w:rPr>
          <w:rFonts w:ascii="Arial" w:hAnsi="Arial" w:cs="Arial"/>
          <w:color w:val="000000"/>
        </w:rPr>
        <w:t>.</w:t>
      </w:r>
    </w:p>
    <w:p w14:paraId="508D6454" w14:textId="77777777" w:rsidR="00B10754" w:rsidRPr="00B10754" w:rsidRDefault="00B10754" w:rsidP="00B10754">
      <w:pPr>
        <w:pStyle w:val="ListParagraph"/>
        <w:numPr>
          <w:ilvl w:val="0"/>
          <w:numId w:val="13"/>
        </w:numPr>
        <w:rPr>
          <w:b/>
          <w:szCs w:val="24"/>
        </w:rPr>
      </w:pPr>
      <w:r w:rsidRPr="00F534AA">
        <w:rPr>
          <w:rFonts w:eastAsia="Times New Roman" w:cs="Arial"/>
          <w:color w:val="000000"/>
          <w:szCs w:val="24"/>
        </w:rPr>
        <w:t>Describe target participants, including the type and number of educators and school leaders who will be served and their locations, including</w:t>
      </w:r>
      <w:r w:rsidRPr="00F534AA">
        <w:rPr>
          <w:rFonts w:eastAsia="Times New Roman" w:cs="Arial"/>
          <w:color w:val="000000"/>
          <w:szCs w:val="24"/>
          <w:shd w:val="clear" w:color="auto" w:fill="FFFFFF"/>
        </w:rPr>
        <w:t xml:space="preserve"> how the proposed activities </w:t>
      </w:r>
      <w:r w:rsidR="007E428D" w:rsidRPr="00D1379C">
        <w:rPr>
          <w:rFonts w:eastAsia="Times New Roman" w:cs="Arial"/>
          <w:color w:val="000000"/>
          <w:szCs w:val="24"/>
          <w:shd w:val="clear" w:color="auto" w:fill="FFFFFF"/>
        </w:rPr>
        <w:t>will ensure th</w:t>
      </w:r>
      <w:r w:rsidR="007E428D">
        <w:rPr>
          <w:rFonts w:eastAsia="Times New Roman" w:cs="Arial"/>
          <w:color w:val="000000"/>
          <w:szCs w:val="24"/>
          <w:shd w:val="clear" w:color="auto" w:fill="FFFFFF"/>
        </w:rPr>
        <w:t>at the</w:t>
      </w:r>
      <w:r w:rsidR="007E428D" w:rsidRPr="00D1379C">
        <w:rPr>
          <w:rFonts w:eastAsia="Times New Roman" w:cs="Arial"/>
          <w:color w:val="000000"/>
          <w:szCs w:val="24"/>
          <w:shd w:val="clear" w:color="auto" w:fill="FFFFFF"/>
        </w:rPr>
        <w:t xml:space="preserve"> PL</w:t>
      </w:r>
      <w:r w:rsidR="007E428D">
        <w:rPr>
          <w:rFonts w:eastAsia="Times New Roman" w:cs="Arial"/>
          <w:color w:val="000000"/>
          <w:szCs w:val="24"/>
          <w:shd w:val="clear" w:color="auto" w:fill="FFFFFF"/>
        </w:rPr>
        <w:t xml:space="preserve"> opportunities are provided</w:t>
      </w:r>
      <w:r w:rsidR="007E428D" w:rsidRPr="00D1379C">
        <w:rPr>
          <w:rFonts w:eastAsia="Times New Roman" w:cs="Arial"/>
          <w:color w:val="000000"/>
          <w:szCs w:val="24"/>
          <w:shd w:val="clear" w:color="auto" w:fill="FFFFFF"/>
        </w:rPr>
        <w:t xml:space="preserve"> to urban, suburban, and rural settings throughout the state</w:t>
      </w:r>
      <w:r w:rsidR="007E428D">
        <w:rPr>
          <w:rFonts w:eastAsia="Times New Roman" w:cs="Arial"/>
          <w:color w:val="000000"/>
          <w:szCs w:val="24"/>
          <w:shd w:val="clear" w:color="auto" w:fill="FFFFFF"/>
        </w:rPr>
        <w:t xml:space="preserve"> and are</w:t>
      </w:r>
      <w:r w:rsidR="007E428D" w:rsidRPr="00D1379C">
        <w:rPr>
          <w:rFonts w:eastAsia="Times New Roman" w:cs="Arial"/>
          <w:color w:val="000000"/>
          <w:szCs w:val="24"/>
          <w:shd w:val="clear" w:color="auto" w:fill="FFFFFF"/>
        </w:rPr>
        <w:t xml:space="preserve"> differentiated to meet local needs.</w:t>
      </w:r>
    </w:p>
    <w:p w14:paraId="5B4ED5F6" w14:textId="77777777" w:rsidR="002E3E3E" w:rsidRPr="00F534AA" w:rsidRDefault="002E3E3E" w:rsidP="00D821B5">
      <w:pPr>
        <w:pStyle w:val="NormalWeb"/>
        <w:numPr>
          <w:ilvl w:val="0"/>
          <w:numId w:val="13"/>
        </w:numPr>
        <w:spacing w:before="0" w:beforeAutospacing="0" w:after="240" w:afterAutospacing="0"/>
      </w:pPr>
      <w:r w:rsidRPr="00F534AA">
        <w:rPr>
          <w:rFonts w:ascii="Arial" w:hAnsi="Arial" w:cs="Arial"/>
          <w:color w:val="000000"/>
        </w:rPr>
        <w:t xml:space="preserve">Describe how the proposed </w:t>
      </w:r>
      <w:r w:rsidR="00EA539C">
        <w:rPr>
          <w:rFonts w:ascii="Arial" w:hAnsi="Arial" w:cs="Arial"/>
          <w:color w:val="000000"/>
        </w:rPr>
        <w:t>PL</w:t>
      </w:r>
      <w:r w:rsidRPr="00F534AA">
        <w:rPr>
          <w:rFonts w:ascii="Arial" w:hAnsi="Arial" w:cs="Arial"/>
          <w:color w:val="000000"/>
        </w:rPr>
        <w:t xml:space="preserve"> will support educator capacity to implement evidence-based literacy</w:t>
      </w:r>
      <w:r w:rsidR="00EA539C">
        <w:rPr>
          <w:rFonts w:ascii="Arial" w:hAnsi="Arial" w:cs="Arial"/>
          <w:color w:val="000000"/>
        </w:rPr>
        <w:t xml:space="preserve"> instruction</w:t>
      </w:r>
      <w:r w:rsidRPr="00F534AA">
        <w:rPr>
          <w:rFonts w:ascii="Arial" w:hAnsi="Arial" w:cs="Arial"/>
          <w:color w:val="000000"/>
        </w:rPr>
        <w:t>, intensive literacy interventions, and practices in support of pupils’ executive functioning skills.</w:t>
      </w:r>
    </w:p>
    <w:p w14:paraId="7A732A56" w14:textId="77777777" w:rsidR="002E3E3E" w:rsidRPr="00646C4B" w:rsidRDefault="002E3E3E" w:rsidP="00E661FB">
      <w:pPr>
        <w:pStyle w:val="NormalWeb"/>
        <w:numPr>
          <w:ilvl w:val="0"/>
          <w:numId w:val="13"/>
        </w:numPr>
        <w:spacing w:before="240" w:beforeAutospacing="0" w:after="240" w:afterAutospacing="0"/>
        <w:rPr>
          <w:rFonts w:ascii="Arial" w:hAnsi="Arial" w:cs="Arial"/>
        </w:rPr>
      </w:pPr>
      <w:r w:rsidRPr="00646C4B">
        <w:rPr>
          <w:rFonts w:ascii="Arial" w:hAnsi="Arial" w:cs="Arial"/>
          <w:color w:val="000000"/>
        </w:rPr>
        <w:lastRenderedPageBreak/>
        <w:t xml:space="preserve">Describe how the proposed </w:t>
      </w:r>
      <w:r w:rsidR="00EA539C">
        <w:rPr>
          <w:rFonts w:ascii="Arial" w:hAnsi="Arial" w:cs="Arial"/>
          <w:color w:val="000000"/>
        </w:rPr>
        <w:t>PL</w:t>
      </w:r>
      <w:r w:rsidRPr="00646C4B">
        <w:rPr>
          <w:rFonts w:ascii="Arial" w:hAnsi="Arial" w:cs="Arial"/>
          <w:color w:val="000000"/>
        </w:rPr>
        <w:t xml:space="preserve"> will increase educator capacity to effectively </w:t>
      </w:r>
      <w:r w:rsidR="00646C4B" w:rsidRPr="00646C4B">
        <w:rPr>
          <w:rFonts w:ascii="Arial" w:hAnsi="Arial" w:cs="Arial"/>
          <w:color w:val="000000"/>
        </w:rPr>
        <w:t>collect, analyze, and respond to data to</w:t>
      </w:r>
      <w:r w:rsidRPr="00646C4B">
        <w:rPr>
          <w:rFonts w:ascii="Arial" w:hAnsi="Arial" w:cs="Arial"/>
          <w:color w:val="000000"/>
        </w:rPr>
        <w:t xml:space="preserve"> support </w:t>
      </w:r>
      <w:r w:rsidR="00EA539C">
        <w:rPr>
          <w:rFonts w:ascii="Arial" w:hAnsi="Arial" w:cs="Arial"/>
          <w:color w:val="000000"/>
        </w:rPr>
        <w:t xml:space="preserve">instruction and </w:t>
      </w:r>
      <w:r w:rsidR="008E35DB">
        <w:rPr>
          <w:rFonts w:ascii="Arial" w:hAnsi="Arial" w:cs="Arial"/>
          <w:color w:val="000000"/>
        </w:rPr>
        <w:t xml:space="preserve">achieve </w:t>
      </w:r>
      <w:r w:rsidRPr="00646C4B">
        <w:rPr>
          <w:rFonts w:ascii="Arial" w:hAnsi="Arial" w:cs="Arial"/>
          <w:color w:val="000000"/>
        </w:rPr>
        <w:t>grant goals.</w:t>
      </w:r>
    </w:p>
    <w:p w14:paraId="2F2C1BA1" w14:textId="77777777" w:rsidR="000200CF" w:rsidRPr="008E35DB" w:rsidRDefault="002E3E3E" w:rsidP="00D13F1B">
      <w:pPr>
        <w:pStyle w:val="NormalWeb"/>
        <w:numPr>
          <w:ilvl w:val="0"/>
          <w:numId w:val="14"/>
        </w:numPr>
        <w:spacing w:before="0" w:beforeAutospacing="0" w:after="240" w:afterAutospacing="0"/>
        <w:rPr>
          <w:rFonts w:ascii="Arial" w:hAnsi="Arial" w:cs="Arial"/>
        </w:rPr>
      </w:pPr>
      <w:r w:rsidRPr="008E35DB">
        <w:rPr>
          <w:rFonts w:ascii="Arial" w:hAnsi="Arial" w:cs="Arial"/>
          <w:color w:val="000000"/>
        </w:rPr>
        <w:t>Describe how the proposed activities promote disciplinary literacy and a culture in which all educators are responsible for literacy learning.</w:t>
      </w:r>
      <w:r w:rsidR="00201380" w:rsidRPr="008E35DB">
        <w:rPr>
          <w:rFonts w:ascii="Arial" w:hAnsi="Arial" w:cs="Arial"/>
          <w:color w:val="000000"/>
        </w:rPr>
        <w:t xml:space="preserve"> </w:t>
      </w:r>
    </w:p>
    <w:p w14:paraId="4A2CC907" w14:textId="77777777" w:rsidR="002E3E3E" w:rsidRPr="00F534AA" w:rsidRDefault="002E3E3E" w:rsidP="00E661FB">
      <w:pPr>
        <w:pStyle w:val="ListParagraph"/>
        <w:numPr>
          <w:ilvl w:val="0"/>
          <w:numId w:val="14"/>
        </w:numPr>
        <w:spacing w:after="480"/>
        <w:rPr>
          <w:szCs w:val="24"/>
        </w:rPr>
      </w:pPr>
      <w:r w:rsidRPr="00F534AA">
        <w:rPr>
          <w:rFonts w:cs="Arial"/>
          <w:color w:val="000000"/>
          <w:szCs w:val="24"/>
        </w:rPr>
        <w:t xml:space="preserve">Provide a </w:t>
      </w:r>
      <w:r w:rsidR="005B3B33">
        <w:rPr>
          <w:rFonts w:cs="Arial"/>
          <w:color w:val="000000"/>
          <w:szCs w:val="24"/>
        </w:rPr>
        <w:t xml:space="preserve">project </w:t>
      </w:r>
      <w:r w:rsidRPr="00F534AA">
        <w:rPr>
          <w:rFonts w:cs="Arial"/>
          <w:color w:val="000000"/>
          <w:szCs w:val="24"/>
        </w:rPr>
        <w:t>timeline for implementation of proposed activities</w:t>
      </w:r>
      <w:r w:rsidR="004F6D97">
        <w:rPr>
          <w:rFonts w:cs="Arial"/>
          <w:color w:val="000000"/>
          <w:szCs w:val="24"/>
        </w:rPr>
        <w:t xml:space="preserve"> that includes approximate dates</w:t>
      </w:r>
      <w:r w:rsidR="004F6D97" w:rsidRPr="00F534AA">
        <w:rPr>
          <w:rFonts w:cs="Arial"/>
          <w:color w:val="000000"/>
          <w:szCs w:val="24"/>
        </w:rPr>
        <w:t xml:space="preserve"> for implementation of</w:t>
      </w:r>
      <w:r w:rsidR="004F6D97">
        <w:rPr>
          <w:rFonts w:cs="Arial"/>
          <w:color w:val="000000"/>
          <w:szCs w:val="24"/>
        </w:rPr>
        <w:t xml:space="preserve"> all major</w:t>
      </w:r>
      <w:r w:rsidR="004F6D97" w:rsidRPr="00F534AA">
        <w:rPr>
          <w:rFonts w:cs="Arial"/>
          <w:color w:val="000000"/>
          <w:szCs w:val="24"/>
        </w:rPr>
        <w:t xml:space="preserve"> proposed activities.</w:t>
      </w:r>
    </w:p>
    <w:p w14:paraId="3328EDB5" w14:textId="77777777" w:rsidR="008B191E" w:rsidRPr="00F534AA" w:rsidRDefault="00E42FA2" w:rsidP="00F546BD">
      <w:pPr>
        <w:pStyle w:val="Heading4"/>
      </w:pPr>
      <w:r>
        <w:t xml:space="preserve">Part </w:t>
      </w:r>
      <w:r w:rsidR="00A65AC6">
        <w:t>3</w:t>
      </w:r>
      <w:r w:rsidRPr="00F534AA">
        <w:t>—</w:t>
      </w:r>
      <w:r w:rsidR="008B191E" w:rsidRPr="00F534AA">
        <w:t xml:space="preserve">Alignment </w:t>
      </w:r>
    </w:p>
    <w:p w14:paraId="4433FC44" w14:textId="77777777" w:rsidR="00F534AA" w:rsidRPr="00F534AA" w:rsidRDefault="002E3E3E" w:rsidP="00D13F1B">
      <w:pPr>
        <w:pStyle w:val="ListParagraph"/>
        <w:numPr>
          <w:ilvl w:val="0"/>
          <w:numId w:val="14"/>
        </w:numPr>
        <w:rPr>
          <w:rFonts w:ascii="Times New Roman" w:eastAsia="Times New Roman" w:hAnsi="Times New Roman" w:cs="Times New Roman"/>
          <w:szCs w:val="24"/>
        </w:rPr>
      </w:pPr>
      <w:r w:rsidRPr="00F534AA">
        <w:rPr>
          <w:rFonts w:eastAsia="Times New Roman" w:cs="Arial"/>
          <w:color w:val="000000"/>
          <w:szCs w:val="24"/>
        </w:rPr>
        <w:t>Describe how the proposed activities align with</w:t>
      </w:r>
      <w:r w:rsidR="000739E9">
        <w:rPr>
          <w:rFonts w:eastAsia="Times New Roman" w:cs="Arial"/>
          <w:color w:val="000000"/>
          <w:szCs w:val="24"/>
        </w:rPr>
        <w:t xml:space="preserve"> the California CCSS for ELA/Literacy, the California ELD standards, and</w:t>
      </w:r>
      <w:r w:rsidRPr="00F534AA">
        <w:rPr>
          <w:rFonts w:eastAsia="Times New Roman" w:cs="Arial"/>
          <w:color w:val="000000"/>
          <w:szCs w:val="24"/>
        </w:rPr>
        <w:t xml:space="preserve"> all five themes of the ELA/ELD Framework, including language development, meaning making, effective expression, content knowledge, and foundational skills.</w:t>
      </w:r>
    </w:p>
    <w:p w14:paraId="1961896F" w14:textId="77777777" w:rsidR="00F534AA" w:rsidRPr="00F534AA" w:rsidRDefault="002E3E3E" w:rsidP="004D17A8">
      <w:pPr>
        <w:pStyle w:val="ListParagraph"/>
        <w:numPr>
          <w:ilvl w:val="0"/>
          <w:numId w:val="14"/>
        </w:numPr>
        <w:rPr>
          <w:rFonts w:ascii="Times New Roman" w:eastAsia="Times New Roman" w:hAnsi="Times New Roman" w:cs="Times New Roman"/>
          <w:szCs w:val="24"/>
        </w:rPr>
      </w:pPr>
      <w:r w:rsidRPr="00F534AA">
        <w:rPr>
          <w:rFonts w:eastAsia="Times New Roman" w:cs="Arial"/>
          <w:color w:val="000000"/>
          <w:szCs w:val="24"/>
        </w:rPr>
        <w:t>Describe how the proposed activities align to the Comprehensive SLP, specifically focusing on the</w:t>
      </w:r>
      <w:r w:rsidR="006209CB">
        <w:rPr>
          <w:rFonts w:eastAsia="Times New Roman" w:cs="Arial"/>
          <w:color w:val="000000"/>
          <w:szCs w:val="24"/>
        </w:rPr>
        <w:t xml:space="preserve"> Comprehensive and</w:t>
      </w:r>
      <w:r w:rsidRPr="00F534AA">
        <w:rPr>
          <w:rFonts w:eastAsia="Times New Roman" w:cs="Arial"/>
          <w:color w:val="000000"/>
          <w:szCs w:val="24"/>
        </w:rPr>
        <w:t xml:space="preserve"> Integrated Literacy Model, which includes MTSS best first instruction, culturally sustaining pedagogies, SEL, and family engagement.</w:t>
      </w:r>
    </w:p>
    <w:p w14:paraId="4DE21ACD" w14:textId="77777777" w:rsidR="00F534AA" w:rsidRPr="00F534AA" w:rsidRDefault="002E3E3E" w:rsidP="004D17A8">
      <w:pPr>
        <w:pStyle w:val="ListParagraph"/>
        <w:numPr>
          <w:ilvl w:val="0"/>
          <w:numId w:val="14"/>
        </w:numPr>
        <w:rPr>
          <w:rFonts w:ascii="Times New Roman" w:eastAsia="Times New Roman" w:hAnsi="Times New Roman" w:cs="Times New Roman"/>
          <w:szCs w:val="24"/>
        </w:rPr>
      </w:pPr>
      <w:r w:rsidRPr="00F534AA">
        <w:rPr>
          <w:rFonts w:eastAsia="Times New Roman" w:cs="Arial"/>
          <w:color w:val="000000"/>
          <w:szCs w:val="24"/>
        </w:rPr>
        <w:t xml:space="preserve">Describe how the proposed activities align with other guidance documents referenced in the SLP, including but </w:t>
      </w:r>
      <w:r w:rsidR="005B3B33">
        <w:rPr>
          <w:rFonts w:eastAsia="Times New Roman" w:cs="Arial"/>
          <w:color w:val="000000"/>
          <w:szCs w:val="24"/>
        </w:rPr>
        <w:t xml:space="preserve">not </w:t>
      </w:r>
      <w:r w:rsidRPr="00F534AA">
        <w:rPr>
          <w:rFonts w:eastAsia="Times New Roman" w:cs="Arial"/>
          <w:color w:val="000000"/>
          <w:szCs w:val="24"/>
        </w:rPr>
        <w:t xml:space="preserve">limited to Improving Education for EL Students, </w:t>
      </w:r>
      <w:r w:rsidR="00BA654D">
        <w:rPr>
          <w:rFonts w:eastAsia="Times New Roman" w:cs="Arial"/>
          <w:color w:val="000000"/>
          <w:szCs w:val="24"/>
        </w:rPr>
        <w:t xml:space="preserve">the </w:t>
      </w:r>
      <w:r w:rsidRPr="00F534AA">
        <w:rPr>
          <w:rFonts w:eastAsia="Times New Roman" w:cs="Arial"/>
          <w:color w:val="000000"/>
          <w:szCs w:val="24"/>
        </w:rPr>
        <w:t>C</w:t>
      </w:r>
      <w:r w:rsidR="00BA654D">
        <w:rPr>
          <w:rFonts w:eastAsia="Times New Roman" w:cs="Arial"/>
          <w:color w:val="000000"/>
          <w:szCs w:val="24"/>
        </w:rPr>
        <w:t>alifornia</w:t>
      </w:r>
      <w:r w:rsidRPr="00F534AA">
        <w:rPr>
          <w:rFonts w:eastAsia="Times New Roman" w:cs="Arial"/>
          <w:color w:val="000000"/>
          <w:szCs w:val="24"/>
        </w:rPr>
        <w:t xml:space="preserve"> Dyslexia Guidelines, </w:t>
      </w:r>
      <w:r w:rsidR="00C005BF">
        <w:rPr>
          <w:rFonts w:eastAsia="Times New Roman" w:cs="Arial"/>
          <w:color w:val="000000"/>
          <w:szCs w:val="24"/>
        </w:rPr>
        <w:t xml:space="preserve">and </w:t>
      </w:r>
      <w:r w:rsidR="00BA654D">
        <w:rPr>
          <w:rFonts w:eastAsia="Times New Roman" w:cs="Arial"/>
          <w:color w:val="000000"/>
          <w:szCs w:val="24"/>
        </w:rPr>
        <w:t xml:space="preserve">the </w:t>
      </w:r>
      <w:r w:rsidRPr="00F534AA">
        <w:rPr>
          <w:rFonts w:eastAsia="Times New Roman" w:cs="Arial"/>
          <w:color w:val="000000"/>
          <w:szCs w:val="24"/>
        </w:rPr>
        <w:t>Guide for Educating EL Students with Dyslexia.</w:t>
      </w:r>
    </w:p>
    <w:p w14:paraId="762AFC24" w14:textId="77777777" w:rsidR="00BA1EDC" w:rsidRPr="00A65AC6" w:rsidRDefault="00BA1EDC" w:rsidP="00E661FB">
      <w:pPr>
        <w:pStyle w:val="NormalWeb"/>
        <w:numPr>
          <w:ilvl w:val="0"/>
          <w:numId w:val="14"/>
        </w:numPr>
        <w:spacing w:before="0" w:beforeAutospacing="0" w:after="480" w:afterAutospacing="0"/>
        <w:rPr>
          <w:rFonts w:ascii="Arial" w:hAnsi="Arial" w:cs="Arial"/>
        </w:rPr>
      </w:pPr>
      <w:r w:rsidRPr="008E35DB">
        <w:rPr>
          <w:rFonts w:ascii="Arial" w:hAnsi="Arial" w:cs="Arial"/>
        </w:rPr>
        <w:t xml:space="preserve">Describe how this project will align with the other state literacy initiatives described </w:t>
      </w:r>
      <w:r w:rsidRPr="00A65AC6">
        <w:rPr>
          <w:rFonts w:ascii="Arial" w:hAnsi="Arial" w:cs="Arial"/>
        </w:rPr>
        <w:t xml:space="preserve">in Section 1, Part </w:t>
      </w:r>
      <w:r w:rsidR="00A65AC6">
        <w:rPr>
          <w:rFonts w:ascii="Arial" w:hAnsi="Arial" w:cs="Arial"/>
        </w:rPr>
        <w:t>C</w:t>
      </w:r>
      <w:r w:rsidRPr="00A65AC6">
        <w:rPr>
          <w:rFonts w:ascii="Arial" w:hAnsi="Arial" w:cs="Arial"/>
        </w:rPr>
        <w:t xml:space="preserve">. </w:t>
      </w:r>
    </w:p>
    <w:p w14:paraId="6A17F0D4" w14:textId="77777777" w:rsidR="00F534AA" w:rsidRPr="00F534AA" w:rsidRDefault="00E42FA2" w:rsidP="007959A2">
      <w:pPr>
        <w:pStyle w:val="Heading4"/>
      </w:pPr>
      <w:r>
        <w:t xml:space="preserve">Part </w:t>
      </w:r>
      <w:r w:rsidR="00A65AC6">
        <w:t>4</w:t>
      </w:r>
      <w:r w:rsidRPr="00F534AA">
        <w:t>—</w:t>
      </w:r>
      <w:r w:rsidR="008B191E" w:rsidRPr="00F534AA">
        <w:t xml:space="preserve">Expanding Capacity </w:t>
      </w:r>
    </w:p>
    <w:p w14:paraId="337EE9AE" w14:textId="77777777" w:rsidR="00453B75" w:rsidRPr="00310E0E" w:rsidRDefault="00453B75" w:rsidP="00D056CA">
      <w:pPr>
        <w:pStyle w:val="ListParagraph"/>
        <w:numPr>
          <w:ilvl w:val="0"/>
          <w:numId w:val="43"/>
        </w:numPr>
        <w:rPr>
          <w:rFonts w:ascii="Times New Roman" w:eastAsia="Times New Roman" w:hAnsi="Times New Roman" w:cs="Times New Roman"/>
          <w:szCs w:val="24"/>
        </w:rPr>
      </w:pPr>
      <w:r w:rsidRPr="00F534AA">
        <w:rPr>
          <w:rFonts w:eastAsia="Times New Roman" w:cs="Arial"/>
          <w:color w:val="000000"/>
          <w:szCs w:val="24"/>
        </w:rPr>
        <w:t>Describe how the proposed activities will align to the QPLS: data, content and pedagogy, equity, design and structure, collaboration and shared accountability, resources, and alignment and coherence.</w:t>
      </w:r>
    </w:p>
    <w:p w14:paraId="26D78AEF" w14:textId="77777777" w:rsidR="00C256DF" w:rsidRPr="00C256DF" w:rsidRDefault="00C256DF" w:rsidP="00D056CA">
      <w:pPr>
        <w:pStyle w:val="ListParagraph"/>
        <w:numPr>
          <w:ilvl w:val="0"/>
          <w:numId w:val="43"/>
        </w:numPr>
        <w:rPr>
          <w:b/>
          <w:szCs w:val="24"/>
        </w:rPr>
      </w:pPr>
      <w:r w:rsidRPr="006F12C1">
        <w:rPr>
          <w:rFonts w:eastAsia="Times New Roman" w:cs="Arial"/>
          <w:color w:val="000000"/>
          <w:szCs w:val="24"/>
        </w:rPr>
        <w:t xml:space="preserve">Describe the measures that will be used to determine the increased capacity of </w:t>
      </w:r>
      <w:r>
        <w:rPr>
          <w:rFonts w:eastAsia="Times New Roman" w:cs="Arial"/>
          <w:color w:val="000000"/>
          <w:szCs w:val="24"/>
        </w:rPr>
        <w:t>teachers, paraprofessionals,</w:t>
      </w:r>
      <w:r w:rsidRPr="006F12C1">
        <w:rPr>
          <w:rFonts w:eastAsia="Times New Roman" w:cs="Arial"/>
          <w:color w:val="000000"/>
          <w:szCs w:val="24"/>
        </w:rPr>
        <w:t xml:space="preserve"> and school leaders to address the goals of the grant.</w:t>
      </w:r>
    </w:p>
    <w:p w14:paraId="35F9BAAE" w14:textId="77777777" w:rsidR="005D6397" w:rsidRPr="005D6397" w:rsidRDefault="005D6397" w:rsidP="00E661FB">
      <w:pPr>
        <w:pStyle w:val="ListParagraph"/>
        <w:numPr>
          <w:ilvl w:val="0"/>
          <w:numId w:val="43"/>
        </w:numPr>
        <w:spacing w:after="480"/>
        <w:rPr>
          <w:b/>
          <w:szCs w:val="24"/>
        </w:rPr>
      </w:pPr>
      <w:r w:rsidRPr="005D6397">
        <w:rPr>
          <w:rFonts w:cs="Arial"/>
          <w:szCs w:val="24"/>
        </w:rPr>
        <w:t>Explain how the evaluation results will be used to sustain the project beyond the life of the grant so others may benefit from the project.</w:t>
      </w:r>
    </w:p>
    <w:p w14:paraId="45E27A97" w14:textId="77777777" w:rsidR="002E3E3E" w:rsidRDefault="006F12C1" w:rsidP="00F546BD">
      <w:pPr>
        <w:pStyle w:val="Heading4"/>
      </w:pPr>
      <w:r>
        <w:lastRenderedPageBreak/>
        <w:t>Priority Points</w:t>
      </w:r>
      <w:r w:rsidR="00E42FA2" w:rsidRPr="00F534AA">
        <w:t>—</w:t>
      </w:r>
      <w:r w:rsidR="00102D0B">
        <w:t>Institution of Higher Education</w:t>
      </w:r>
      <w:r w:rsidR="0035050A" w:rsidRPr="0035050A">
        <w:t>/Nonprofit</w:t>
      </w:r>
      <w:r w:rsidR="0035050A">
        <w:t xml:space="preserve"> </w:t>
      </w:r>
      <w:r w:rsidR="002E3E3E">
        <w:t>Consortium Collaboration</w:t>
      </w:r>
    </w:p>
    <w:p w14:paraId="1C85DA42" w14:textId="77777777" w:rsidR="00C74BCE" w:rsidRPr="00C74BCE" w:rsidRDefault="00C74BCE" w:rsidP="00A86E2B">
      <w:pPr>
        <w:pStyle w:val="Default"/>
        <w:spacing w:after="240"/>
        <w:ind w:left="720"/>
      </w:pPr>
      <w:r w:rsidRPr="00C74BCE">
        <w:t xml:space="preserve">The State Department of Education shall give positive consideration to applicants that propose partnerships with an </w:t>
      </w:r>
      <w:r w:rsidR="00DB4F02">
        <w:t>IHE</w:t>
      </w:r>
      <w:r w:rsidRPr="00C74BCE">
        <w:t xml:space="preserve">, a nonprofit organization, or a consortium of </w:t>
      </w:r>
      <w:r w:rsidR="00310E0E">
        <w:t>IHEs</w:t>
      </w:r>
      <w:r w:rsidRPr="00C74BCE">
        <w:t xml:space="preserve"> and nonprofit organizations.</w:t>
      </w:r>
    </w:p>
    <w:p w14:paraId="5612E2ED" w14:textId="77777777" w:rsidR="0035050A" w:rsidRPr="002E3E3E" w:rsidRDefault="0035050A" w:rsidP="00A86E2B">
      <w:pPr>
        <w:pStyle w:val="ListParagraph"/>
        <w:numPr>
          <w:ilvl w:val="0"/>
          <w:numId w:val="23"/>
        </w:numPr>
        <w:ind w:left="1440"/>
        <w:rPr>
          <w:b/>
          <w:szCs w:val="24"/>
        </w:rPr>
      </w:pPr>
      <w:r w:rsidRPr="006F12C1">
        <w:rPr>
          <w:rFonts w:eastAsia="Times New Roman" w:cs="Arial"/>
          <w:color w:val="000000"/>
          <w:szCs w:val="24"/>
        </w:rPr>
        <w:t xml:space="preserve">If applicable, describe how the Lead Applicant will work together to implement proposed activities in consortium with one or more </w:t>
      </w:r>
      <w:r>
        <w:rPr>
          <w:rFonts w:eastAsia="Times New Roman" w:cs="Arial"/>
          <w:color w:val="000000"/>
          <w:szCs w:val="24"/>
        </w:rPr>
        <w:t>IHE</w:t>
      </w:r>
      <w:r w:rsidRPr="006F12C1">
        <w:rPr>
          <w:rFonts w:eastAsia="Times New Roman" w:cs="Arial"/>
          <w:color w:val="000000"/>
          <w:szCs w:val="24"/>
        </w:rPr>
        <w:t xml:space="preserve"> and/or nonprofit educational organization.</w:t>
      </w:r>
    </w:p>
    <w:p w14:paraId="2D988CD8" w14:textId="77777777" w:rsidR="00E42FA2" w:rsidRPr="00E42FA2" w:rsidRDefault="002E3E3E" w:rsidP="00A86E2B">
      <w:pPr>
        <w:pStyle w:val="ListParagraph"/>
        <w:numPr>
          <w:ilvl w:val="0"/>
          <w:numId w:val="23"/>
        </w:numPr>
        <w:spacing w:after="480"/>
        <w:ind w:left="1440"/>
        <w:rPr>
          <w:b/>
          <w:szCs w:val="24"/>
        </w:rPr>
      </w:pPr>
      <w:r w:rsidRPr="002E3E3E">
        <w:rPr>
          <w:rFonts w:eastAsia="Times New Roman" w:cs="Arial"/>
          <w:color w:val="000000"/>
          <w:szCs w:val="24"/>
        </w:rPr>
        <w:t xml:space="preserve">If applicable, provide Letters of Commitment addressed to the </w:t>
      </w:r>
      <w:r w:rsidR="00310E0E">
        <w:rPr>
          <w:rFonts w:eastAsia="Times New Roman" w:cs="Arial"/>
          <w:color w:val="000000"/>
          <w:szCs w:val="24"/>
        </w:rPr>
        <w:t>L</w:t>
      </w:r>
      <w:r w:rsidRPr="002E3E3E">
        <w:rPr>
          <w:rFonts w:eastAsia="Times New Roman" w:cs="Arial"/>
          <w:color w:val="000000"/>
          <w:szCs w:val="24"/>
        </w:rPr>
        <w:t xml:space="preserve">ead </w:t>
      </w:r>
      <w:r w:rsidR="00310E0E">
        <w:rPr>
          <w:rFonts w:eastAsia="Times New Roman" w:cs="Arial"/>
          <w:color w:val="000000"/>
          <w:szCs w:val="24"/>
        </w:rPr>
        <w:t>A</w:t>
      </w:r>
      <w:r w:rsidRPr="002E3E3E">
        <w:rPr>
          <w:rFonts w:eastAsia="Times New Roman" w:cs="Arial"/>
          <w:color w:val="000000"/>
          <w:szCs w:val="24"/>
        </w:rPr>
        <w:t>pplicant and signed by the LEA Superintendent in each participating LEA, the Dean of the specific department within an IHE, and/or the Chief Executive Officer of the nonprofit educational service provider.</w:t>
      </w:r>
    </w:p>
    <w:p w14:paraId="505FFFC7" w14:textId="77777777" w:rsidR="007535C6" w:rsidRPr="00F534AA" w:rsidRDefault="007535C6" w:rsidP="00211B53">
      <w:pPr>
        <w:pStyle w:val="Heading3"/>
        <w:numPr>
          <w:ilvl w:val="0"/>
          <w:numId w:val="12"/>
        </w:numPr>
        <w:spacing w:before="0"/>
        <w:ind w:left="720"/>
      </w:pPr>
      <w:bookmarkStart w:id="84" w:name="_Toc86663639"/>
      <w:bookmarkStart w:id="85" w:name="_Toc89072208"/>
      <w:bookmarkStart w:id="86" w:name="_Toc89072305"/>
      <w:r>
        <w:t>Budget</w:t>
      </w:r>
      <w:bookmarkEnd w:id="84"/>
      <w:bookmarkEnd w:id="85"/>
      <w:bookmarkEnd w:id="86"/>
    </w:p>
    <w:p w14:paraId="0DE44FCF" w14:textId="77777777" w:rsidR="00F534AA" w:rsidRPr="00F534AA" w:rsidRDefault="00F534AA" w:rsidP="00F43BA2">
      <w:pPr>
        <w:tabs>
          <w:tab w:val="left" w:pos="900"/>
        </w:tabs>
        <w:ind w:left="720"/>
        <w:rPr>
          <w:rFonts w:cs="Arial"/>
          <w:szCs w:val="24"/>
        </w:rPr>
      </w:pPr>
      <w:r w:rsidRPr="00F534AA">
        <w:rPr>
          <w:rFonts w:cs="Arial"/>
          <w:szCs w:val="24"/>
        </w:rPr>
        <w:t>A projected five-year budget is required in the application. Project expenses will be identified using grant funds in the 2021–22 through the 2025–26 fiscal years.</w:t>
      </w:r>
    </w:p>
    <w:p w14:paraId="0AD67BDD" w14:textId="77777777" w:rsidR="00F534AA" w:rsidRPr="00F534AA" w:rsidRDefault="00F534AA" w:rsidP="00F43BA2">
      <w:pPr>
        <w:tabs>
          <w:tab w:val="left" w:pos="900"/>
        </w:tabs>
        <w:ind w:left="720"/>
        <w:rPr>
          <w:rFonts w:cs="Arial"/>
          <w:szCs w:val="24"/>
        </w:rPr>
      </w:pPr>
      <w:r w:rsidRPr="00F534AA">
        <w:rPr>
          <w:rFonts w:cs="Arial"/>
          <w:szCs w:val="24"/>
        </w:rPr>
        <w:t xml:space="preserve">The applicant must provide a thorough and detailed justification for each identified cost associated with implementing the proposed initiatives and goals, including why the costs are reasonable and necessary to support the proposal’s initiatives and goals. </w:t>
      </w:r>
    </w:p>
    <w:p w14:paraId="615A8195" w14:textId="77777777" w:rsidR="00F534AA" w:rsidRPr="00F534AA" w:rsidRDefault="00F534AA" w:rsidP="00F43BA2">
      <w:pPr>
        <w:numPr>
          <w:ilvl w:val="0"/>
          <w:numId w:val="44"/>
        </w:numPr>
        <w:ind w:left="1440"/>
        <w:rPr>
          <w:rFonts w:cs="Arial"/>
          <w:iCs/>
          <w:szCs w:val="24"/>
        </w:rPr>
      </w:pPr>
      <w:r w:rsidRPr="00F534AA">
        <w:rPr>
          <w:rFonts w:cs="Arial"/>
          <w:iCs/>
          <w:szCs w:val="24"/>
        </w:rPr>
        <w:t xml:space="preserve">Complete the </w:t>
      </w:r>
      <w:r w:rsidRPr="00F534AA">
        <w:rPr>
          <w:rFonts w:cs="Arial"/>
          <w:szCs w:val="24"/>
        </w:rPr>
        <w:t xml:space="preserve">RII </w:t>
      </w:r>
      <w:r w:rsidRPr="00F534AA">
        <w:rPr>
          <w:rFonts w:cs="Arial"/>
          <w:bCs/>
          <w:szCs w:val="24"/>
        </w:rPr>
        <w:t xml:space="preserve">Proposed Project Budget </w:t>
      </w:r>
      <w:r w:rsidRPr="00EC5E20">
        <w:rPr>
          <w:rFonts w:cs="Arial"/>
          <w:bCs/>
          <w:szCs w:val="24"/>
        </w:rPr>
        <w:t>Summary</w:t>
      </w:r>
      <w:r w:rsidR="00AB1D95" w:rsidRPr="00EC5E20">
        <w:rPr>
          <w:rFonts w:cs="Arial"/>
          <w:bCs/>
          <w:szCs w:val="24"/>
        </w:rPr>
        <w:t xml:space="preserve"> (Form B)</w:t>
      </w:r>
      <w:r w:rsidR="00A42310" w:rsidRPr="00EC5E20">
        <w:rPr>
          <w:rFonts w:cs="Arial"/>
          <w:bCs/>
          <w:szCs w:val="24"/>
        </w:rPr>
        <w:t>,</w:t>
      </w:r>
      <w:r w:rsidR="00A42310">
        <w:rPr>
          <w:rFonts w:cs="Arial"/>
          <w:bCs/>
          <w:szCs w:val="24"/>
        </w:rPr>
        <w:t xml:space="preserve"> </w:t>
      </w:r>
      <w:r w:rsidRPr="00F534AA">
        <w:rPr>
          <w:rFonts w:cs="Arial"/>
          <w:iCs/>
          <w:szCs w:val="24"/>
        </w:rPr>
        <w:t xml:space="preserve">including allowable costs </w:t>
      </w:r>
      <w:r w:rsidRPr="00F534AA">
        <w:rPr>
          <w:rFonts w:cs="Arial"/>
          <w:bCs/>
          <w:szCs w:val="24"/>
        </w:rPr>
        <w:t xml:space="preserve">for the project’s performance period from </w:t>
      </w:r>
      <w:r w:rsidR="00494433">
        <w:rPr>
          <w:rFonts w:cs="Arial"/>
          <w:szCs w:val="24"/>
        </w:rPr>
        <w:t>April 1</w:t>
      </w:r>
      <w:r w:rsidRPr="00F534AA">
        <w:rPr>
          <w:rFonts w:cs="Arial"/>
          <w:szCs w:val="24"/>
        </w:rPr>
        <w:t>, 2022</w:t>
      </w:r>
      <w:r w:rsidR="00F43BA2">
        <w:rPr>
          <w:rFonts w:cs="Arial"/>
          <w:szCs w:val="24"/>
        </w:rPr>
        <w:t>,</w:t>
      </w:r>
      <w:r w:rsidRPr="00F534AA">
        <w:rPr>
          <w:rFonts w:cs="Arial"/>
          <w:szCs w:val="24"/>
        </w:rPr>
        <w:t xml:space="preserve"> through </w:t>
      </w:r>
      <w:r w:rsidR="00BD2302">
        <w:rPr>
          <w:rFonts w:cs="Arial"/>
          <w:szCs w:val="24"/>
        </w:rPr>
        <w:t>March</w:t>
      </w:r>
      <w:r w:rsidR="00BD2302" w:rsidRPr="00F534AA">
        <w:rPr>
          <w:rFonts w:cs="Arial"/>
          <w:szCs w:val="24"/>
        </w:rPr>
        <w:t xml:space="preserve"> </w:t>
      </w:r>
      <w:r w:rsidRPr="00F534AA">
        <w:rPr>
          <w:rFonts w:cs="Arial"/>
          <w:szCs w:val="24"/>
        </w:rPr>
        <w:t>30, 2026</w:t>
      </w:r>
      <w:r w:rsidRPr="00F534AA">
        <w:rPr>
          <w:rFonts w:cs="Arial"/>
          <w:iCs/>
          <w:szCs w:val="24"/>
        </w:rPr>
        <w:t xml:space="preserve">. </w:t>
      </w:r>
    </w:p>
    <w:p w14:paraId="682A2916" w14:textId="77777777" w:rsidR="00F534AA" w:rsidRPr="0083661A" w:rsidRDefault="00F534AA" w:rsidP="00E661FB">
      <w:pPr>
        <w:pStyle w:val="BodyTextIndent3"/>
        <w:widowControl w:val="0"/>
        <w:numPr>
          <w:ilvl w:val="0"/>
          <w:numId w:val="44"/>
        </w:numPr>
        <w:tabs>
          <w:tab w:val="left" w:pos="-1440"/>
        </w:tabs>
        <w:spacing w:after="480"/>
        <w:ind w:left="1440"/>
        <w:rPr>
          <w:rFonts w:cs="Arial"/>
          <w:iCs/>
          <w:sz w:val="24"/>
          <w:szCs w:val="24"/>
        </w:rPr>
      </w:pPr>
      <w:r w:rsidRPr="0083661A">
        <w:rPr>
          <w:rFonts w:cs="Arial"/>
          <w:iCs/>
          <w:sz w:val="24"/>
          <w:szCs w:val="24"/>
        </w:rPr>
        <w:t>Provide a detailed explanation on the RII Project Budget Narrative</w:t>
      </w:r>
      <w:r w:rsidR="00AB1D95">
        <w:rPr>
          <w:rFonts w:cs="Arial"/>
          <w:iCs/>
          <w:sz w:val="24"/>
          <w:szCs w:val="24"/>
        </w:rPr>
        <w:t xml:space="preserve"> </w:t>
      </w:r>
      <w:r w:rsidR="00AB1D95" w:rsidRPr="00EC5E20">
        <w:rPr>
          <w:rFonts w:cs="Arial"/>
          <w:iCs/>
          <w:sz w:val="24"/>
          <w:szCs w:val="24"/>
        </w:rPr>
        <w:t>(Form C)</w:t>
      </w:r>
      <w:r w:rsidRPr="0083661A">
        <w:rPr>
          <w:rFonts w:cs="Arial"/>
          <w:iCs/>
          <w:sz w:val="24"/>
          <w:szCs w:val="24"/>
        </w:rPr>
        <w:t xml:space="preserve"> for each line-item included in the five-year performance period. The narrative should include a description of how the proposed costs to implement the </w:t>
      </w:r>
      <w:r w:rsidRPr="0083661A">
        <w:rPr>
          <w:rFonts w:cs="Arial"/>
          <w:sz w:val="24"/>
          <w:szCs w:val="24"/>
        </w:rPr>
        <w:t>proposed project</w:t>
      </w:r>
      <w:r w:rsidRPr="0083661A">
        <w:rPr>
          <w:rFonts w:cs="Arial"/>
          <w:bCs/>
          <w:sz w:val="24"/>
          <w:szCs w:val="24"/>
        </w:rPr>
        <w:t xml:space="preserve"> </w:t>
      </w:r>
      <w:r w:rsidRPr="0083661A">
        <w:rPr>
          <w:rFonts w:cs="Arial"/>
          <w:iCs/>
          <w:sz w:val="24"/>
          <w:szCs w:val="24"/>
        </w:rPr>
        <w:t xml:space="preserve">are necessary and reasonable in terms of project activities, benefits to participants, and project outcomes. </w:t>
      </w:r>
    </w:p>
    <w:p w14:paraId="347729C7" w14:textId="77777777" w:rsidR="00F534AA" w:rsidRPr="00AA7F8C" w:rsidRDefault="00F534AA" w:rsidP="00AB1D95">
      <w:pPr>
        <w:pStyle w:val="Heading3"/>
        <w:numPr>
          <w:ilvl w:val="0"/>
          <w:numId w:val="12"/>
        </w:numPr>
        <w:spacing w:before="0"/>
        <w:ind w:left="720"/>
      </w:pPr>
      <w:bookmarkStart w:id="87" w:name="_Toc86663640"/>
      <w:bookmarkStart w:id="88" w:name="_Toc89072209"/>
      <w:bookmarkStart w:id="89" w:name="_Toc89072306"/>
      <w:r w:rsidRPr="00AA7F8C">
        <w:t>Scoring Rubric</w:t>
      </w:r>
      <w:bookmarkEnd w:id="87"/>
      <w:bookmarkEnd w:id="88"/>
      <w:bookmarkEnd w:id="89"/>
    </w:p>
    <w:p w14:paraId="527A73EC" w14:textId="34B5FDD7" w:rsidR="009B381A" w:rsidRDefault="00C328E8" w:rsidP="00F43BA2">
      <w:pPr>
        <w:ind w:left="720" w:right="-86"/>
        <w:rPr>
          <w:rFonts w:cs="Arial"/>
        </w:rPr>
      </w:pPr>
      <w:r w:rsidRPr="00AA7F8C">
        <w:rPr>
          <w:rFonts w:cs="Arial"/>
        </w:rPr>
        <w:t>The</w:t>
      </w:r>
      <w:r>
        <w:rPr>
          <w:rFonts w:cs="Arial"/>
        </w:rPr>
        <w:t xml:space="preserve"> scoring</w:t>
      </w:r>
      <w:r w:rsidRPr="00AA7F8C">
        <w:rPr>
          <w:rFonts w:cs="Arial"/>
        </w:rPr>
        <w:t xml:space="preserve"> rubric is valued at a maximum of </w:t>
      </w:r>
      <w:r w:rsidRPr="00C328E8">
        <w:rPr>
          <w:rFonts w:cs="Arial"/>
        </w:rPr>
        <w:t>60</w:t>
      </w:r>
      <w:r w:rsidRPr="00AA7F8C">
        <w:rPr>
          <w:rFonts w:cs="Arial"/>
        </w:rPr>
        <w:t xml:space="preserve"> points. Grants may not necessarily be made to applications that have the highest scores. These scores are advisory to the </w:t>
      </w:r>
      <w:r>
        <w:rPr>
          <w:rFonts w:cs="Arial"/>
        </w:rPr>
        <w:t>panelists</w:t>
      </w:r>
      <w:r w:rsidRPr="00AA7F8C">
        <w:rPr>
          <w:rFonts w:cs="Arial"/>
        </w:rPr>
        <w:t xml:space="preserve"> who will make the final decisions to ensure that the applications meet the goals and requirements of the program. T</w:t>
      </w:r>
      <w:r>
        <w:rPr>
          <w:rFonts w:cs="Arial"/>
        </w:rPr>
        <w:t>he t</w:t>
      </w:r>
      <w:r w:rsidRPr="00AA7F8C">
        <w:rPr>
          <w:rFonts w:cs="Arial"/>
        </w:rPr>
        <w:t xml:space="preserve">able </w:t>
      </w:r>
      <w:r>
        <w:rPr>
          <w:rFonts w:cs="Arial"/>
        </w:rPr>
        <w:t>below</w:t>
      </w:r>
      <w:r w:rsidRPr="00AA7F8C">
        <w:rPr>
          <w:rFonts w:cs="Arial"/>
        </w:rPr>
        <w:t xml:space="preserve"> displays the maximum point values for each section:</w:t>
      </w:r>
    </w:p>
    <w:p w14:paraId="44D7ED4F" w14:textId="1A5BCE2D" w:rsidR="00E7436B" w:rsidRDefault="00E7436B" w:rsidP="00E7436B">
      <w:pPr>
        <w:pStyle w:val="Heading4"/>
        <w:ind w:left="0"/>
      </w:pPr>
      <w:r>
        <w:lastRenderedPageBreak/>
        <w:t>Scoring Rubric Point Values</w:t>
      </w:r>
    </w:p>
    <w:tbl>
      <w:tblPr>
        <w:tblStyle w:val="TableGrid"/>
        <w:tblW w:w="9535" w:type="dxa"/>
        <w:tblLook w:val="04A0" w:firstRow="1" w:lastRow="0" w:firstColumn="1" w:lastColumn="0" w:noHBand="0" w:noVBand="1"/>
        <w:tblDescription w:val="Scoring Rubric Point Values Table"/>
      </w:tblPr>
      <w:tblGrid>
        <w:gridCol w:w="1795"/>
        <w:gridCol w:w="6300"/>
        <w:gridCol w:w="1440"/>
      </w:tblGrid>
      <w:tr w:rsidR="00A86E2B" w:rsidRPr="00AA7F8C" w14:paraId="505C3E64" w14:textId="77777777" w:rsidTr="00171B73">
        <w:trPr>
          <w:cantSplit/>
          <w:tblHeader/>
        </w:trPr>
        <w:tc>
          <w:tcPr>
            <w:tcW w:w="1795" w:type="dxa"/>
          </w:tcPr>
          <w:p w14:paraId="5E35B6B5" w14:textId="2E99A74D" w:rsidR="00A86E2B" w:rsidRPr="001D79C5" w:rsidRDefault="00E7436B" w:rsidP="00E7436B">
            <w:pPr>
              <w:spacing w:after="120"/>
              <w:ind w:right="-90"/>
              <w:contextualSpacing/>
              <w:jc w:val="center"/>
              <w:rPr>
                <w:rFonts w:cs="Arial"/>
                <w:b/>
              </w:rPr>
            </w:pPr>
            <w:r>
              <w:rPr>
                <w:rFonts w:cs="Arial"/>
                <w:b/>
              </w:rPr>
              <w:t>Part</w:t>
            </w:r>
          </w:p>
        </w:tc>
        <w:tc>
          <w:tcPr>
            <w:tcW w:w="6300" w:type="dxa"/>
          </w:tcPr>
          <w:p w14:paraId="4DAF1F03" w14:textId="77777777" w:rsidR="00A86E2B" w:rsidRPr="00AA7F8C" w:rsidRDefault="00A86E2B" w:rsidP="003E7A3D">
            <w:pPr>
              <w:spacing w:after="120"/>
              <w:ind w:right="-90"/>
              <w:contextualSpacing/>
              <w:jc w:val="center"/>
              <w:rPr>
                <w:rFonts w:cs="Arial"/>
                <w:b/>
              </w:rPr>
            </w:pPr>
            <w:r w:rsidRPr="00AA7F8C">
              <w:rPr>
                <w:rFonts w:cs="Arial"/>
                <w:b/>
              </w:rPr>
              <w:t>Description</w:t>
            </w:r>
          </w:p>
        </w:tc>
        <w:tc>
          <w:tcPr>
            <w:tcW w:w="1440" w:type="dxa"/>
          </w:tcPr>
          <w:p w14:paraId="52458716" w14:textId="77777777" w:rsidR="00A86E2B" w:rsidRPr="00AA7F8C" w:rsidRDefault="00A86E2B" w:rsidP="003E7A3D">
            <w:pPr>
              <w:spacing w:after="120"/>
              <w:ind w:right="-90"/>
              <w:contextualSpacing/>
              <w:jc w:val="center"/>
              <w:rPr>
                <w:rFonts w:cs="Arial"/>
                <w:b/>
              </w:rPr>
            </w:pPr>
            <w:r w:rsidRPr="00AA7F8C">
              <w:rPr>
                <w:rFonts w:cs="Arial"/>
                <w:b/>
              </w:rPr>
              <w:t>Point Value</w:t>
            </w:r>
          </w:p>
        </w:tc>
      </w:tr>
      <w:tr w:rsidR="00A86E2B" w:rsidRPr="00AA7F8C" w14:paraId="001BE520" w14:textId="77777777" w:rsidTr="00171B73">
        <w:trPr>
          <w:cantSplit/>
        </w:trPr>
        <w:tc>
          <w:tcPr>
            <w:tcW w:w="1795" w:type="dxa"/>
          </w:tcPr>
          <w:p w14:paraId="7DD275A4" w14:textId="77777777" w:rsidR="00A86E2B" w:rsidRPr="00AA7F8C" w:rsidRDefault="00A86E2B" w:rsidP="003E7A3D">
            <w:pPr>
              <w:spacing w:before="120" w:after="120"/>
              <w:ind w:right="-90"/>
              <w:rPr>
                <w:rFonts w:cs="Arial"/>
              </w:rPr>
            </w:pPr>
            <w:r>
              <w:rPr>
                <w:rFonts w:cs="Arial"/>
              </w:rPr>
              <w:t>Application Narrative Part 1</w:t>
            </w:r>
          </w:p>
        </w:tc>
        <w:tc>
          <w:tcPr>
            <w:tcW w:w="6300" w:type="dxa"/>
          </w:tcPr>
          <w:p w14:paraId="0DF80353" w14:textId="77777777" w:rsidR="00A86E2B" w:rsidRPr="00AA7F8C" w:rsidRDefault="00A86E2B" w:rsidP="003E7A3D">
            <w:pPr>
              <w:spacing w:before="120" w:after="120"/>
              <w:ind w:right="-90"/>
              <w:rPr>
                <w:rFonts w:cs="Arial"/>
              </w:rPr>
            </w:pPr>
            <w:r>
              <w:rPr>
                <w:rFonts w:cs="Arial"/>
              </w:rPr>
              <w:t>Capacity and Program Facilitation</w:t>
            </w:r>
          </w:p>
        </w:tc>
        <w:tc>
          <w:tcPr>
            <w:tcW w:w="1440" w:type="dxa"/>
          </w:tcPr>
          <w:p w14:paraId="7EA44C9B" w14:textId="77777777" w:rsidR="00A86E2B" w:rsidRPr="001563EC" w:rsidRDefault="00A86E2B" w:rsidP="003E7A3D">
            <w:pPr>
              <w:spacing w:before="120" w:after="120"/>
              <w:ind w:right="-90"/>
              <w:jc w:val="center"/>
              <w:rPr>
                <w:rFonts w:cs="Arial"/>
              </w:rPr>
            </w:pPr>
            <w:r w:rsidRPr="001563EC">
              <w:rPr>
                <w:rFonts w:cs="Arial"/>
              </w:rPr>
              <w:t>12</w:t>
            </w:r>
          </w:p>
        </w:tc>
      </w:tr>
      <w:tr w:rsidR="00A86E2B" w:rsidRPr="00AA7F8C" w14:paraId="5981B92D" w14:textId="77777777" w:rsidTr="00171B73">
        <w:trPr>
          <w:cantSplit/>
        </w:trPr>
        <w:tc>
          <w:tcPr>
            <w:tcW w:w="1795" w:type="dxa"/>
          </w:tcPr>
          <w:p w14:paraId="4931B831" w14:textId="77777777" w:rsidR="00A86E2B" w:rsidRPr="00AA7F8C" w:rsidRDefault="00A86E2B" w:rsidP="003E7A3D">
            <w:pPr>
              <w:spacing w:before="120" w:after="120"/>
              <w:ind w:right="-86"/>
              <w:rPr>
                <w:rFonts w:cs="Arial"/>
              </w:rPr>
            </w:pPr>
            <w:r>
              <w:rPr>
                <w:rFonts w:cs="Arial"/>
              </w:rPr>
              <w:t>Application Narrative Part 2</w:t>
            </w:r>
          </w:p>
        </w:tc>
        <w:tc>
          <w:tcPr>
            <w:tcW w:w="6300" w:type="dxa"/>
          </w:tcPr>
          <w:p w14:paraId="13741928" w14:textId="77777777" w:rsidR="00A86E2B" w:rsidRPr="00AA7F8C" w:rsidRDefault="00A86E2B" w:rsidP="003E7A3D">
            <w:pPr>
              <w:spacing w:before="120" w:after="120"/>
              <w:ind w:right="-90"/>
              <w:rPr>
                <w:rFonts w:cs="Arial"/>
              </w:rPr>
            </w:pPr>
            <w:r>
              <w:rPr>
                <w:rFonts w:cs="Arial"/>
              </w:rPr>
              <w:t>Project Plan</w:t>
            </w:r>
          </w:p>
        </w:tc>
        <w:tc>
          <w:tcPr>
            <w:tcW w:w="1440" w:type="dxa"/>
          </w:tcPr>
          <w:p w14:paraId="67F5BDDD" w14:textId="77777777" w:rsidR="00A86E2B" w:rsidRPr="001563EC" w:rsidRDefault="00A86E2B" w:rsidP="003E7A3D">
            <w:pPr>
              <w:spacing w:before="120" w:after="120"/>
              <w:ind w:right="-90"/>
              <w:jc w:val="center"/>
              <w:rPr>
                <w:rFonts w:cs="Arial"/>
              </w:rPr>
            </w:pPr>
            <w:r w:rsidRPr="001563EC">
              <w:rPr>
                <w:rFonts w:cs="Arial"/>
              </w:rPr>
              <w:t>18</w:t>
            </w:r>
          </w:p>
        </w:tc>
      </w:tr>
      <w:tr w:rsidR="00A86E2B" w:rsidRPr="00AA7F8C" w14:paraId="5EAAC758" w14:textId="77777777" w:rsidTr="00171B73">
        <w:trPr>
          <w:cantSplit/>
          <w:trHeight w:val="251"/>
        </w:trPr>
        <w:tc>
          <w:tcPr>
            <w:tcW w:w="1795" w:type="dxa"/>
          </w:tcPr>
          <w:p w14:paraId="60A9D0C8" w14:textId="77777777" w:rsidR="00A86E2B" w:rsidRPr="00AA7F8C" w:rsidRDefault="00A86E2B" w:rsidP="003E7A3D">
            <w:pPr>
              <w:spacing w:before="120" w:after="120"/>
              <w:ind w:right="-86"/>
              <w:rPr>
                <w:rFonts w:cs="Arial"/>
              </w:rPr>
            </w:pPr>
            <w:r>
              <w:rPr>
                <w:rFonts w:cs="Arial"/>
              </w:rPr>
              <w:t>Application Narrative Part 3</w:t>
            </w:r>
          </w:p>
        </w:tc>
        <w:tc>
          <w:tcPr>
            <w:tcW w:w="6300" w:type="dxa"/>
          </w:tcPr>
          <w:p w14:paraId="6DBB75E6" w14:textId="77777777" w:rsidR="00A86E2B" w:rsidRPr="00AA7F8C" w:rsidRDefault="00A86E2B" w:rsidP="003E7A3D">
            <w:pPr>
              <w:tabs>
                <w:tab w:val="left" w:pos="1800"/>
              </w:tabs>
              <w:spacing w:before="120" w:after="120"/>
              <w:rPr>
                <w:rFonts w:cs="Arial"/>
              </w:rPr>
            </w:pPr>
            <w:r>
              <w:rPr>
                <w:rFonts w:cs="Arial"/>
              </w:rPr>
              <w:t>Alignment</w:t>
            </w:r>
          </w:p>
        </w:tc>
        <w:tc>
          <w:tcPr>
            <w:tcW w:w="1440" w:type="dxa"/>
          </w:tcPr>
          <w:p w14:paraId="4BA6F250" w14:textId="77777777" w:rsidR="00A86E2B" w:rsidRPr="001563EC" w:rsidRDefault="00A86E2B" w:rsidP="003E7A3D">
            <w:pPr>
              <w:spacing w:before="120" w:after="120"/>
              <w:ind w:right="-86"/>
              <w:jc w:val="center"/>
              <w:rPr>
                <w:rFonts w:cs="Arial"/>
              </w:rPr>
            </w:pPr>
            <w:r w:rsidRPr="001563EC">
              <w:rPr>
                <w:rFonts w:cs="Arial"/>
              </w:rPr>
              <w:t>12</w:t>
            </w:r>
          </w:p>
        </w:tc>
      </w:tr>
      <w:tr w:rsidR="00A86E2B" w:rsidRPr="00AA7F8C" w14:paraId="0FC11606" w14:textId="77777777" w:rsidTr="00171B73">
        <w:trPr>
          <w:cantSplit/>
        </w:trPr>
        <w:tc>
          <w:tcPr>
            <w:tcW w:w="1795" w:type="dxa"/>
          </w:tcPr>
          <w:p w14:paraId="58AE6477" w14:textId="77777777" w:rsidR="00A86E2B" w:rsidRPr="00AA7F8C" w:rsidRDefault="00A86E2B" w:rsidP="003E7A3D">
            <w:pPr>
              <w:spacing w:before="120" w:after="120"/>
              <w:ind w:right="-90"/>
              <w:rPr>
                <w:rFonts w:cs="Arial"/>
              </w:rPr>
            </w:pPr>
            <w:r>
              <w:rPr>
                <w:rFonts w:cs="Arial"/>
              </w:rPr>
              <w:t>Application Narrative Part 4</w:t>
            </w:r>
          </w:p>
        </w:tc>
        <w:tc>
          <w:tcPr>
            <w:tcW w:w="6300" w:type="dxa"/>
          </w:tcPr>
          <w:p w14:paraId="35511FD8" w14:textId="77777777" w:rsidR="00A86E2B" w:rsidRPr="00AA7F8C" w:rsidRDefault="00A86E2B" w:rsidP="003E7A3D">
            <w:pPr>
              <w:spacing w:before="120" w:after="120"/>
              <w:ind w:right="-90"/>
              <w:rPr>
                <w:rFonts w:cs="Arial"/>
              </w:rPr>
            </w:pPr>
            <w:r>
              <w:rPr>
                <w:rFonts w:cs="Arial"/>
              </w:rPr>
              <w:t>Expanding Capacity</w:t>
            </w:r>
          </w:p>
        </w:tc>
        <w:tc>
          <w:tcPr>
            <w:tcW w:w="1440" w:type="dxa"/>
          </w:tcPr>
          <w:p w14:paraId="043F698E" w14:textId="77777777" w:rsidR="00A86E2B" w:rsidRPr="001563EC" w:rsidRDefault="00A86E2B" w:rsidP="003E7A3D">
            <w:pPr>
              <w:spacing w:before="120" w:after="120"/>
              <w:ind w:right="-90"/>
              <w:jc w:val="center"/>
              <w:rPr>
                <w:rFonts w:cs="Arial"/>
              </w:rPr>
            </w:pPr>
            <w:r w:rsidRPr="001563EC">
              <w:rPr>
                <w:rFonts w:cs="Arial"/>
              </w:rPr>
              <w:t>9</w:t>
            </w:r>
          </w:p>
        </w:tc>
      </w:tr>
      <w:tr w:rsidR="00A86E2B" w:rsidRPr="00AA7F8C" w14:paraId="42B81030" w14:textId="77777777" w:rsidTr="00171B73">
        <w:trPr>
          <w:cantSplit/>
        </w:trPr>
        <w:tc>
          <w:tcPr>
            <w:tcW w:w="1795" w:type="dxa"/>
          </w:tcPr>
          <w:p w14:paraId="7D76A8D0" w14:textId="77777777" w:rsidR="00A86E2B" w:rsidRPr="00AA7F8C" w:rsidRDefault="00A86E2B" w:rsidP="003E7A3D">
            <w:pPr>
              <w:spacing w:before="120" w:after="120"/>
              <w:ind w:right="-90"/>
              <w:rPr>
                <w:rFonts w:cs="Arial"/>
              </w:rPr>
            </w:pPr>
            <w:r>
              <w:rPr>
                <w:rFonts w:cs="Arial"/>
              </w:rPr>
              <w:t>Application Narrative Priority Points</w:t>
            </w:r>
          </w:p>
        </w:tc>
        <w:tc>
          <w:tcPr>
            <w:tcW w:w="6300" w:type="dxa"/>
          </w:tcPr>
          <w:p w14:paraId="4C371C16" w14:textId="77777777" w:rsidR="00A86E2B" w:rsidRDefault="00A86E2B" w:rsidP="003E7A3D">
            <w:pPr>
              <w:spacing w:before="120" w:after="120"/>
              <w:ind w:right="-90"/>
              <w:rPr>
                <w:rFonts w:cs="Arial"/>
                <w:szCs w:val="24"/>
              </w:rPr>
            </w:pPr>
            <w:r>
              <w:rPr>
                <w:rFonts w:cs="Arial"/>
                <w:szCs w:val="24"/>
              </w:rPr>
              <w:t>IHE/Nonprofit Consortium Collaboration</w:t>
            </w:r>
          </w:p>
        </w:tc>
        <w:tc>
          <w:tcPr>
            <w:tcW w:w="1440" w:type="dxa"/>
          </w:tcPr>
          <w:p w14:paraId="793D60D0" w14:textId="77777777" w:rsidR="00A86E2B" w:rsidRPr="001563EC" w:rsidRDefault="00A86E2B" w:rsidP="003E7A3D">
            <w:pPr>
              <w:spacing w:before="120" w:after="120"/>
              <w:ind w:right="-90"/>
              <w:jc w:val="center"/>
              <w:rPr>
                <w:rFonts w:cs="Arial"/>
              </w:rPr>
            </w:pPr>
            <w:r w:rsidRPr="001563EC">
              <w:rPr>
                <w:rFonts w:cs="Arial"/>
              </w:rPr>
              <w:t>4</w:t>
            </w:r>
          </w:p>
        </w:tc>
      </w:tr>
      <w:tr w:rsidR="00A86E2B" w:rsidRPr="00AA7F8C" w14:paraId="6D7C08E3" w14:textId="77777777" w:rsidTr="00171B73">
        <w:trPr>
          <w:cantSplit/>
          <w:trHeight w:val="773"/>
        </w:trPr>
        <w:tc>
          <w:tcPr>
            <w:tcW w:w="1795" w:type="dxa"/>
          </w:tcPr>
          <w:p w14:paraId="2A51C865" w14:textId="77777777" w:rsidR="00A86E2B" w:rsidRDefault="00A86E2B" w:rsidP="003E7A3D">
            <w:pPr>
              <w:spacing w:before="120" w:after="120"/>
              <w:ind w:right="-90"/>
              <w:rPr>
                <w:rFonts w:cs="Arial"/>
              </w:rPr>
            </w:pPr>
            <w:r>
              <w:rPr>
                <w:rFonts w:cs="Arial"/>
              </w:rPr>
              <w:t>Budget Part 1</w:t>
            </w:r>
          </w:p>
        </w:tc>
        <w:tc>
          <w:tcPr>
            <w:tcW w:w="6300" w:type="dxa"/>
          </w:tcPr>
          <w:p w14:paraId="1E81A50F" w14:textId="77777777" w:rsidR="00A86E2B" w:rsidRDefault="00A86E2B" w:rsidP="003E7A3D">
            <w:pPr>
              <w:spacing w:before="120" w:after="120"/>
              <w:ind w:right="-90"/>
              <w:rPr>
                <w:rFonts w:cs="Arial"/>
                <w:szCs w:val="24"/>
              </w:rPr>
            </w:pPr>
            <w:r>
              <w:rPr>
                <w:rFonts w:cs="Arial"/>
                <w:szCs w:val="24"/>
              </w:rPr>
              <w:t>Budget</w:t>
            </w:r>
          </w:p>
        </w:tc>
        <w:tc>
          <w:tcPr>
            <w:tcW w:w="1440" w:type="dxa"/>
          </w:tcPr>
          <w:p w14:paraId="6EA5E62C" w14:textId="77777777" w:rsidR="00A86E2B" w:rsidRPr="001563EC" w:rsidRDefault="00A86E2B" w:rsidP="003E7A3D">
            <w:pPr>
              <w:spacing w:before="120" w:after="120"/>
              <w:ind w:right="-90"/>
              <w:jc w:val="center"/>
              <w:rPr>
                <w:rFonts w:cs="Arial"/>
              </w:rPr>
            </w:pPr>
            <w:r w:rsidRPr="001563EC">
              <w:rPr>
                <w:rFonts w:cs="Arial"/>
              </w:rPr>
              <w:t>5</w:t>
            </w:r>
          </w:p>
        </w:tc>
      </w:tr>
      <w:tr w:rsidR="00A86E2B" w:rsidRPr="00AA7F8C" w14:paraId="22AA44A7" w14:textId="77777777" w:rsidTr="00171B73">
        <w:trPr>
          <w:cantSplit/>
        </w:trPr>
        <w:tc>
          <w:tcPr>
            <w:tcW w:w="1795" w:type="dxa"/>
          </w:tcPr>
          <w:p w14:paraId="4A6DE3AD" w14:textId="77777777" w:rsidR="00A86E2B" w:rsidRPr="003E15BE" w:rsidRDefault="00A86E2B" w:rsidP="003E7A3D">
            <w:pPr>
              <w:spacing w:before="120" w:after="120"/>
              <w:ind w:right="-90"/>
              <w:rPr>
                <w:rFonts w:cs="Arial"/>
                <w:b/>
              </w:rPr>
            </w:pPr>
            <w:r w:rsidRPr="003E15BE">
              <w:rPr>
                <w:rFonts w:cs="Arial"/>
                <w:b/>
                <w:szCs w:val="24"/>
              </w:rPr>
              <w:t>Total Points</w:t>
            </w:r>
            <w:r w:rsidRPr="003E15BE">
              <w:rPr>
                <w:rFonts w:cs="Arial"/>
                <w:b/>
              </w:rPr>
              <w:t xml:space="preserve"> </w:t>
            </w:r>
          </w:p>
        </w:tc>
        <w:tc>
          <w:tcPr>
            <w:tcW w:w="6300" w:type="dxa"/>
          </w:tcPr>
          <w:p w14:paraId="74C43D62" w14:textId="77777777" w:rsidR="00A86E2B" w:rsidRPr="003E15BE" w:rsidRDefault="00A86E2B" w:rsidP="003E7A3D">
            <w:pPr>
              <w:spacing w:before="120" w:after="120"/>
              <w:ind w:right="-90"/>
              <w:rPr>
                <w:rFonts w:cs="Arial"/>
                <w:b/>
                <w:szCs w:val="24"/>
              </w:rPr>
            </w:pPr>
            <w:r w:rsidRPr="003E15BE">
              <w:rPr>
                <w:rFonts w:cs="Arial"/>
                <w:b/>
              </w:rPr>
              <w:t>Total of Scoring Rubric Sections</w:t>
            </w:r>
          </w:p>
        </w:tc>
        <w:tc>
          <w:tcPr>
            <w:tcW w:w="1440" w:type="dxa"/>
          </w:tcPr>
          <w:p w14:paraId="2773DB21" w14:textId="77777777" w:rsidR="00A86E2B" w:rsidRPr="003E15BE" w:rsidRDefault="00A86E2B" w:rsidP="003E7A3D">
            <w:pPr>
              <w:spacing w:before="120" w:after="120"/>
              <w:ind w:right="-90"/>
              <w:jc w:val="center"/>
              <w:rPr>
                <w:rFonts w:cs="Arial"/>
                <w:b/>
              </w:rPr>
            </w:pPr>
            <w:r w:rsidRPr="003E15BE">
              <w:rPr>
                <w:rFonts w:cs="Arial"/>
                <w:b/>
              </w:rPr>
              <w:t>60</w:t>
            </w:r>
          </w:p>
        </w:tc>
      </w:tr>
    </w:tbl>
    <w:p w14:paraId="746D60E7" w14:textId="77777777" w:rsidR="00A86E2B" w:rsidRPr="00EC5E20" w:rsidRDefault="00A86E2B" w:rsidP="00A86E2B">
      <w:pPr>
        <w:rPr>
          <w:sz w:val="26"/>
          <w:szCs w:val="26"/>
        </w:rPr>
        <w:sectPr w:rsidR="00A86E2B" w:rsidRPr="00EC5E20" w:rsidSect="0042621D">
          <w:pgSz w:w="12240" w:h="15840"/>
          <w:pgMar w:top="1440" w:right="1440" w:bottom="1440" w:left="1440" w:header="720" w:footer="720" w:gutter="0"/>
          <w:pgNumType w:start="1"/>
          <w:cols w:space="720"/>
          <w:titlePg/>
          <w:docGrid w:linePitch="360"/>
        </w:sectPr>
      </w:pPr>
    </w:p>
    <w:p w14:paraId="33A9CCD6" w14:textId="7D5ED65D" w:rsidR="00F05DFE" w:rsidRDefault="00F05DFE" w:rsidP="007959A2">
      <w:pPr>
        <w:pStyle w:val="Heading4"/>
        <w:ind w:left="0"/>
      </w:pPr>
      <w:r w:rsidRPr="00B277CF">
        <w:lastRenderedPageBreak/>
        <w:t>Application Nar</w:t>
      </w:r>
      <w:r>
        <w:t>r</w:t>
      </w:r>
      <w:r w:rsidRPr="00B277CF">
        <w:t>ative</w:t>
      </w:r>
    </w:p>
    <w:p w14:paraId="3FE2DDAC" w14:textId="13B931BC" w:rsidR="001F225A" w:rsidRPr="007959A2" w:rsidRDefault="001F225A" w:rsidP="007959A2">
      <w:pPr>
        <w:pStyle w:val="Heading5"/>
      </w:pPr>
      <w:r w:rsidRPr="007959A2">
        <w:t>Part 1: Capacity and Program Facilitation</w:t>
      </w:r>
    </w:p>
    <w:tbl>
      <w:tblPr>
        <w:tblStyle w:val="TableGrid"/>
        <w:tblW w:w="0" w:type="auto"/>
        <w:tblLook w:val="04E0" w:firstRow="1" w:lastRow="1" w:firstColumn="1" w:lastColumn="0" w:noHBand="0" w:noVBand="1"/>
        <w:tblDescription w:val="Part 1: Capacity and Program Facilitation Table"/>
      </w:tblPr>
      <w:tblGrid>
        <w:gridCol w:w="4135"/>
        <w:gridCol w:w="2203"/>
        <w:gridCol w:w="2204"/>
        <w:gridCol w:w="2204"/>
        <w:gridCol w:w="2204"/>
      </w:tblGrid>
      <w:tr w:rsidR="00F11F72" w14:paraId="2AAF8D46" w14:textId="77777777" w:rsidTr="00171B73">
        <w:trPr>
          <w:cantSplit/>
          <w:tblHeader/>
        </w:trPr>
        <w:tc>
          <w:tcPr>
            <w:tcW w:w="4135" w:type="dxa"/>
            <w:tcBorders>
              <w:top w:val="single" w:sz="4" w:space="0" w:color="auto"/>
            </w:tcBorders>
          </w:tcPr>
          <w:p w14:paraId="511C7127" w14:textId="31057707" w:rsidR="00A86E2B" w:rsidRPr="00BF51F5" w:rsidRDefault="001F225A" w:rsidP="003E7A3D">
            <w:pPr>
              <w:spacing w:before="120" w:after="120"/>
              <w:rPr>
                <w:rFonts w:cs="Arial"/>
                <w:b/>
                <w:szCs w:val="24"/>
              </w:rPr>
            </w:pPr>
            <w:r>
              <w:rPr>
                <w:rFonts w:cs="Arial"/>
                <w:b/>
                <w:szCs w:val="24"/>
              </w:rPr>
              <w:t>Requirement</w:t>
            </w:r>
          </w:p>
        </w:tc>
        <w:tc>
          <w:tcPr>
            <w:tcW w:w="2203" w:type="dxa"/>
            <w:tcBorders>
              <w:top w:val="single" w:sz="4" w:space="0" w:color="auto"/>
            </w:tcBorders>
          </w:tcPr>
          <w:p w14:paraId="4B2DB604" w14:textId="77777777" w:rsidR="00A86E2B" w:rsidRPr="00BF51F5" w:rsidRDefault="00A86E2B" w:rsidP="003E7A3D">
            <w:pPr>
              <w:spacing w:before="120" w:after="120"/>
              <w:jc w:val="center"/>
              <w:rPr>
                <w:rFonts w:cs="Arial"/>
                <w:b/>
                <w:szCs w:val="24"/>
              </w:rPr>
            </w:pPr>
            <w:r>
              <w:rPr>
                <w:rFonts w:cs="Arial"/>
                <w:szCs w:val="24"/>
              </w:rPr>
              <w:t>Requirement Not Addressed</w:t>
            </w:r>
          </w:p>
        </w:tc>
        <w:tc>
          <w:tcPr>
            <w:tcW w:w="2204" w:type="dxa"/>
            <w:tcBorders>
              <w:top w:val="single" w:sz="4" w:space="0" w:color="auto"/>
            </w:tcBorders>
          </w:tcPr>
          <w:p w14:paraId="33AC90EB" w14:textId="77777777" w:rsidR="00A86E2B" w:rsidRPr="00BF51F5" w:rsidRDefault="00A86E2B" w:rsidP="003E7A3D">
            <w:pPr>
              <w:spacing w:before="120" w:after="120"/>
              <w:jc w:val="center"/>
              <w:rPr>
                <w:rFonts w:cs="Arial"/>
                <w:b/>
                <w:szCs w:val="24"/>
              </w:rPr>
            </w:pPr>
            <w:r>
              <w:rPr>
                <w:rFonts w:cs="Arial"/>
                <w:szCs w:val="24"/>
              </w:rPr>
              <w:t>Requirement Partially Addressed</w:t>
            </w:r>
          </w:p>
        </w:tc>
        <w:tc>
          <w:tcPr>
            <w:tcW w:w="2204" w:type="dxa"/>
            <w:tcBorders>
              <w:top w:val="single" w:sz="4" w:space="0" w:color="auto"/>
            </w:tcBorders>
          </w:tcPr>
          <w:p w14:paraId="7E405C90" w14:textId="77777777" w:rsidR="00A86E2B" w:rsidRPr="00BF51F5" w:rsidRDefault="00A86E2B" w:rsidP="003E7A3D">
            <w:pPr>
              <w:spacing w:before="120" w:after="120"/>
              <w:jc w:val="center"/>
              <w:rPr>
                <w:rFonts w:cs="Arial"/>
                <w:b/>
                <w:szCs w:val="24"/>
              </w:rPr>
            </w:pPr>
            <w:r>
              <w:rPr>
                <w:rFonts w:cs="Arial"/>
                <w:szCs w:val="24"/>
              </w:rPr>
              <w:t>Requirement Met</w:t>
            </w:r>
          </w:p>
        </w:tc>
        <w:tc>
          <w:tcPr>
            <w:tcW w:w="2204" w:type="dxa"/>
            <w:tcBorders>
              <w:top w:val="single" w:sz="4" w:space="0" w:color="auto"/>
            </w:tcBorders>
          </w:tcPr>
          <w:p w14:paraId="062BEE50" w14:textId="77777777" w:rsidR="00A86E2B" w:rsidRPr="00BF51F5" w:rsidRDefault="00A86E2B" w:rsidP="003E7A3D">
            <w:pPr>
              <w:spacing w:before="120" w:after="120"/>
              <w:jc w:val="center"/>
              <w:rPr>
                <w:rFonts w:cs="Arial"/>
                <w:b/>
                <w:szCs w:val="24"/>
              </w:rPr>
            </w:pPr>
            <w:r>
              <w:rPr>
                <w:rFonts w:cs="Arial"/>
                <w:szCs w:val="24"/>
              </w:rPr>
              <w:t>Requirement Exceeded</w:t>
            </w:r>
          </w:p>
        </w:tc>
      </w:tr>
      <w:tr w:rsidR="00F11F72" w14:paraId="0929D233" w14:textId="77777777" w:rsidTr="00171B73">
        <w:trPr>
          <w:cantSplit/>
        </w:trPr>
        <w:tc>
          <w:tcPr>
            <w:tcW w:w="4135" w:type="dxa"/>
          </w:tcPr>
          <w:p w14:paraId="7467E515" w14:textId="77777777" w:rsidR="00A86E2B" w:rsidRPr="0084139F" w:rsidRDefault="00A86E2B" w:rsidP="003E7A3D">
            <w:pPr>
              <w:spacing w:beforeLines="120" w:before="288" w:after="120"/>
              <w:rPr>
                <w:rFonts w:ascii="Times New Roman" w:eastAsia="Times New Roman" w:hAnsi="Times New Roman" w:cs="Times New Roman"/>
                <w:szCs w:val="24"/>
              </w:rPr>
            </w:pPr>
            <w:r>
              <w:rPr>
                <w:rFonts w:eastAsia="Times New Roman" w:cs="Arial"/>
                <w:color w:val="000000"/>
                <w:szCs w:val="24"/>
              </w:rPr>
              <w:t>Clearly and convincingly demonstrates</w:t>
            </w:r>
            <w:r w:rsidRPr="0084139F">
              <w:rPr>
                <w:rFonts w:eastAsia="Times New Roman" w:cs="Arial"/>
                <w:color w:val="000000"/>
                <w:szCs w:val="24"/>
              </w:rPr>
              <w:t xml:space="preserve"> experience and/or expertise in developing and delivering high-quality </w:t>
            </w:r>
            <w:r>
              <w:rPr>
                <w:rFonts w:eastAsia="Times New Roman" w:cs="Arial"/>
                <w:color w:val="000000"/>
                <w:szCs w:val="24"/>
              </w:rPr>
              <w:t>PL</w:t>
            </w:r>
            <w:r w:rsidRPr="0084139F">
              <w:rPr>
                <w:rFonts w:eastAsia="Times New Roman" w:cs="Arial"/>
                <w:color w:val="000000"/>
                <w:szCs w:val="24"/>
              </w:rPr>
              <w:t xml:space="preserve"> for school leaders, including principals and teacher leaders, to lead evidence-based reading instruction for diverse learners, EL students, pupils with disabilities, and pupils with dyslexia.</w:t>
            </w:r>
          </w:p>
        </w:tc>
        <w:tc>
          <w:tcPr>
            <w:tcW w:w="2203" w:type="dxa"/>
          </w:tcPr>
          <w:p w14:paraId="50CC3CE8" w14:textId="77777777" w:rsidR="00A86E2B" w:rsidRDefault="00A86E2B" w:rsidP="003E7A3D">
            <w:pPr>
              <w:spacing w:beforeLines="120" w:before="288" w:after="0"/>
              <w:jc w:val="center"/>
              <w:rPr>
                <w:rFonts w:cs="Arial"/>
                <w:szCs w:val="24"/>
              </w:rPr>
            </w:pPr>
            <w:r>
              <w:rPr>
                <w:rFonts w:cs="Arial"/>
                <w:szCs w:val="24"/>
              </w:rPr>
              <w:t>0</w:t>
            </w:r>
          </w:p>
          <w:p w14:paraId="464967DF" w14:textId="77777777" w:rsidR="00A86E2B" w:rsidRDefault="00A86E2B" w:rsidP="003E7A3D">
            <w:pPr>
              <w:spacing w:beforeLines="120" w:before="288" w:after="0"/>
              <w:jc w:val="center"/>
              <w:rPr>
                <w:rFonts w:cs="Arial"/>
                <w:szCs w:val="24"/>
              </w:rPr>
            </w:pPr>
            <w:r>
              <w:rPr>
                <w:rFonts w:cs="Arial"/>
                <w:szCs w:val="24"/>
              </w:rPr>
              <w:t>Requirement Not Addressed</w:t>
            </w:r>
          </w:p>
        </w:tc>
        <w:tc>
          <w:tcPr>
            <w:tcW w:w="2204" w:type="dxa"/>
          </w:tcPr>
          <w:p w14:paraId="0922BCD1" w14:textId="77777777" w:rsidR="00A86E2B" w:rsidRDefault="00A86E2B" w:rsidP="003E7A3D">
            <w:pPr>
              <w:spacing w:beforeLines="120" w:before="288" w:after="0"/>
              <w:jc w:val="center"/>
              <w:rPr>
                <w:rFonts w:cs="Arial"/>
                <w:szCs w:val="24"/>
              </w:rPr>
            </w:pPr>
            <w:r>
              <w:rPr>
                <w:rFonts w:cs="Arial"/>
                <w:szCs w:val="24"/>
              </w:rPr>
              <w:t>1</w:t>
            </w:r>
          </w:p>
          <w:p w14:paraId="14B2597F" w14:textId="77777777" w:rsidR="00A86E2B" w:rsidRDefault="00A86E2B" w:rsidP="003E7A3D">
            <w:pPr>
              <w:spacing w:beforeLines="120" w:before="288" w:after="0"/>
              <w:jc w:val="center"/>
              <w:rPr>
                <w:rFonts w:cs="Arial"/>
                <w:szCs w:val="24"/>
              </w:rPr>
            </w:pPr>
            <w:r>
              <w:rPr>
                <w:rFonts w:cs="Arial"/>
                <w:szCs w:val="24"/>
              </w:rPr>
              <w:t>Requirement Partially Addressed</w:t>
            </w:r>
          </w:p>
        </w:tc>
        <w:tc>
          <w:tcPr>
            <w:tcW w:w="2204" w:type="dxa"/>
          </w:tcPr>
          <w:p w14:paraId="19202020" w14:textId="77777777" w:rsidR="00A86E2B" w:rsidRDefault="00A86E2B" w:rsidP="003E7A3D">
            <w:pPr>
              <w:spacing w:beforeLines="120" w:before="288" w:after="0"/>
              <w:jc w:val="center"/>
              <w:rPr>
                <w:rFonts w:cs="Arial"/>
                <w:szCs w:val="24"/>
              </w:rPr>
            </w:pPr>
            <w:r>
              <w:rPr>
                <w:rFonts w:cs="Arial"/>
                <w:szCs w:val="24"/>
              </w:rPr>
              <w:t>2</w:t>
            </w:r>
          </w:p>
          <w:p w14:paraId="007D2DF1" w14:textId="77777777" w:rsidR="00A86E2B" w:rsidRDefault="00A86E2B" w:rsidP="003E7A3D">
            <w:pPr>
              <w:spacing w:beforeLines="120" w:before="288" w:after="0"/>
              <w:jc w:val="center"/>
              <w:rPr>
                <w:rFonts w:cs="Arial"/>
                <w:szCs w:val="24"/>
              </w:rPr>
            </w:pPr>
            <w:r>
              <w:rPr>
                <w:rFonts w:cs="Arial"/>
                <w:szCs w:val="24"/>
              </w:rPr>
              <w:t>Requirement Met</w:t>
            </w:r>
          </w:p>
        </w:tc>
        <w:tc>
          <w:tcPr>
            <w:tcW w:w="2204" w:type="dxa"/>
          </w:tcPr>
          <w:p w14:paraId="5D582082" w14:textId="77777777" w:rsidR="00A86E2B" w:rsidRDefault="00A86E2B" w:rsidP="003E7A3D">
            <w:pPr>
              <w:spacing w:beforeLines="120" w:before="288" w:after="0"/>
              <w:jc w:val="center"/>
              <w:rPr>
                <w:rFonts w:cs="Arial"/>
                <w:szCs w:val="24"/>
              </w:rPr>
            </w:pPr>
            <w:r>
              <w:rPr>
                <w:rFonts w:cs="Arial"/>
                <w:szCs w:val="24"/>
              </w:rPr>
              <w:t>3</w:t>
            </w:r>
          </w:p>
          <w:p w14:paraId="18E410A5" w14:textId="77777777" w:rsidR="00A86E2B" w:rsidRDefault="00A86E2B" w:rsidP="003E7A3D">
            <w:pPr>
              <w:spacing w:beforeLines="120" w:before="288" w:after="0"/>
              <w:jc w:val="center"/>
              <w:rPr>
                <w:rFonts w:cs="Arial"/>
                <w:szCs w:val="24"/>
              </w:rPr>
            </w:pPr>
            <w:r>
              <w:rPr>
                <w:rFonts w:cs="Arial"/>
                <w:szCs w:val="24"/>
              </w:rPr>
              <w:t>Requirement Exceeded</w:t>
            </w:r>
          </w:p>
        </w:tc>
      </w:tr>
      <w:tr w:rsidR="00F11F72" w14:paraId="636247AC" w14:textId="77777777" w:rsidTr="00171B73">
        <w:trPr>
          <w:cantSplit/>
        </w:trPr>
        <w:tc>
          <w:tcPr>
            <w:tcW w:w="4135" w:type="dxa"/>
          </w:tcPr>
          <w:p w14:paraId="605C8832" w14:textId="77777777" w:rsidR="00A86E2B" w:rsidRPr="0084139F" w:rsidRDefault="00A86E2B" w:rsidP="003E7A3D">
            <w:pPr>
              <w:spacing w:beforeLines="120" w:before="288" w:after="120"/>
              <w:rPr>
                <w:rFonts w:ascii="Times New Roman" w:eastAsia="Times New Roman" w:hAnsi="Times New Roman" w:cs="Times New Roman"/>
                <w:szCs w:val="24"/>
              </w:rPr>
            </w:pPr>
            <w:r>
              <w:rPr>
                <w:rFonts w:eastAsia="Times New Roman" w:cs="Arial"/>
                <w:color w:val="000000"/>
                <w:szCs w:val="24"/>
              </w:rPr>
              <w:t xml:space="preserve">Clearly and convincingly demonstrates </w:t>
            </w:r>
            <w:r w:rsidRPr="0084139F">
              <w:rPr>
                <w:rFonts w:eastAsia="Times New Roman" w:cs="Arial"/>
                <w:color w:val="000000"/>
                <w:szCs w:val="24"/>
              </w:rPr>
              <w:t xml:space="preserve">previous experience and/or expertise in developing and delivering high-quality </w:t>
            </w:r>
            <w:r>
              <w:rPr>
                <w:rFonts w:eastAsia="Times New Roman" w:cs="Arial"/>
                <w:color w:val="000000"/>
                <w:szCs w:val="24"/>
              </w:rPr>
              <w:t>PL</w:t>
            </w:r>
            <w:r w:rsidRPr="0084139F">
              <w:rPr>
                <w:rFonts w:eastAsia="Times New Roman" w:cs="Arial"/>
                <w:color w:val="000000"/>
                <w:szCs w:val="24"/>
              </w:rPr>
              <w:t xml:space="preserve"> for educators, including teachers and paraprofessionals, to develop knowledge and skills for appropriate use of screening strategies and evidence-based literacy instruction</w:t>
            </w:r>
            <w:r>
              <w:rPr>
                <w:rFonts w:eastAsia="Times New Roman" w:cs="Arial"/>
                <w:color w:val="000000"/>
                <w:szCs w:val="24"/>
              </w:rPr>
              <w:t>, including biliteracy instruction,</w:t>
            </w:r>
            <w:r w:rsidRPr="0084139F">
              <w:rPr>
                <w:rFonts w:eastAsia="Times New Roman" w:cs="Arial"/>
                <w:color w:val="000000"/>
                <w:szCs w:val="24"/>
              </w:rPr>
              <w:t xml:space="preserve"> for diverse learners.</w:t>
            </w:r>
          </w:p>
        </w:tc>
        <w:tc>
          <w:tcPr>
            <w:tcW w:w="2203" w:type="dxa"/>
          </w:tcPr>
          <w:p w14:paraId="58E1E0D2" w14:textId="77777777" w:rsidR="00A86E2B" w:rsidRDefault="00A86E2B" w:rsidP="003E7A3D">
            <w:pPr>
              <w:spacing w:beforeLines="120" w:before="288" w:after="0"/>
              <w:jc w:val="center"/>
              <w:rPr>
                <w:rFonts w:cs="Arial"/>
                <w:szCs w:val="24"/>
              </w:rPr>
            </w:pPr>
            <w:r>
              <w:rPr>
                <w:rFonts w:cs="Arial"/>
                <w:szCs w:val="24"/>
              </w:rPr>
              <w:t>0</w:t>
            </w:r>
          </w:p>
          <w:p w14:paraId="6C7ACDC6" w14:textId="77777777" w:rsidR="00A86E2B" w:rsidRDefault="00A86E2B" w:rsidP="003E7A3D">
            <w:pPr>
              <w:spacing w:beforeLines="120" w:before="288" w:after="0"/>
              <w:jc w:val="center"/>
              <w:rPr>
                <w:rFonts w:cs="Arial"/>
                <w:szCs w:val="24"/>
              </w:rPr>
            </w:pPr>
            <w:r>
              <w:rPr>
                <w:rFonts w:cs="Arial"/>
                <w:szCs w:val="24"/>
              </w:rPr>
              <w:t>Requirement Not Addressed</w:t>
            </w:r>
          </w:p>
        </w:tc>
        <w:tc>
          <w:tcPr>
            <w:tcW w:w="2204" w:type="dxa"/>
          </w:tcPr>
          <w:p w14:paraId="3E351DF0" w14:textId="77777777" w:rsidR="00A86E2B" w:rsidRDefault="00A86E2B" w:rsidP="003E7A3D">
            <w:pPr>
              <w:spacing w:beforeLines="120" w:before="288" w:after="0"/>
              <w:jc w:val="center"/>
              <w:rPr>
                <w:rFonts w:cs="Arial"/>
                <w:szCs w:val="24"/>
              </w:rPr>
            </w:pPr>
            <w:r>
              <w:rPr>
                <w:rFonts w:cs="Arial"/>
                <w:szCs w:val="24"/>
              </w:rPr>
              <w:t>1</w:t>
            </w:r>
          </w:p>
          <w:p w14:paraId="16CA6784" w14:textId="77777777" w:rsidR="00A86E2B" w:rsidRDefault="00A86E2B" w:rsidP="003E7A3D">
            <w:pPr>
              <w:spacing w:beforeLines="120" w:before="288" w:after="0"/>
              <w:jc w:val="center"/>
              <w:rPr>
                <w:rFonts w:cs="Arial"/>
                <w:szCs w:val="24"/>
              </w:rPr>
            </w:pPr>
            <w:r>
              <w:rPr>
                <w:rFonts w:cs="Arial"/>
                <w:szCs w:val="24"/>
              </w:rPr>
              <w:t>Requirement Partially Addressed</w:t>
            </w:r>
          </w:p>
        </w:tc>
        <w:tc>
          <w:tcPr>
            <w:tcW w:w="2204" w:type="dxa"/>
          </w:tcPr>
          <w:p w14:paraId="6DF1F8EF" w14:textId="77777777" w:rsidR="00A86E2B" w:rsidRDefault="00A86E2B" w:rsidP="003E7A3D">
            <w:pPr>
              <w:spacing w:beforeLines="120" w:before="288" w:after="0"/>
              <w:jc w:val="center"/>
              <w:rPr>
                <w:rFonts w:cs="Arial"/>
                <w:szCs w:val="24"/>
              </w:rPr>
            </w:pPr>
            <w:r>
              <w:rPr>
                <w:rFonts w:cs="Arial"/>
                <w:szCs w:val="24"/>
              </w:rPr>
              <w:t>2</w:t>
            </w:r>
          </w:p>
          <w:p w14:paraId="76E7DBB0" w14:textId="77777777" w:rsidR="00A86E2B" w:rsidRDefault="00A86E2B" w:rsidP="003E7A3D">
            <w:pPr>
              <w:spacing w:beforeLines="120" w:before="288" w:after="0"/>
              <w:jc w:val="center"/>
              <w:rPr>
                <w:rFonts w:cs="Arial"/>
                <w:szCs w:val="24"/>
              </w:rPr>
            </w:pPr>
            <w:r>
              <w:rPr>
                <w:rFonts w:cs="Arial"/>
                <w:szCs w:val="24"/>
              </w:rPr>
              <w:t>Requirement Met</w:t>
            </w:r>
          </w:p>
        </w:tc>
        <w:tc>
          <w:tcPr>
            <w:tcW w:w="2204" w:type="dxa"/>
          </w:tcPr>
          <w:p w14:paraId="37E3DA50" w14:textId="77777777" w:rsidR="00A86E2B" w:rsidRDefault="00A86E2B" w:rsidP="003E7A3D">
            <w:pPr>
              <w:spacing w:beforeLines="120" w:before="288" w:after="0"/>
              <w:jc w:val="center"/>
              <w:rPr>
                <w:rFonts w:cs="Arial"/>
                <w:szCs w:val="24"/>
              </w:rPr>
            </w:pPr>
            <w:r>
              <w:rPr>
                <w:rFonts w:cs="Arial"/>
                <w:szCs w:val="24"/>
              </w:rPr>
              <w:t>3</w:t>
            </w:r>
          </w:p>
          <w:p w14:paraId="3B3AEDC7" w14:textId="77777777" w:rsidR="00A86E2B" w:rsidRDefault="00A86E2B" w:rsidP="003E7A3D">
            <w:pPr>
              <w:spacing w:beforeLines="120" w:before="288" w:after="0"/>
              <w:jc w:val="center"/>
              <w:rPr>
                <w:rFonts w:cs="Arial"/>
                <w:szCs w:val="24"/>
              </w:rPr>
            </w:pPr>
            <w:r>
              <w:rPr>
                <w:rFonts w:cs="Arial"/>
                <w:szCs w:val="24"/>
              </w:rPr>
              <w:t>Requirement Exceeded</w:t>
            </w:r>
          </w:p>
        </w:tc>
      </w:tr>
      <w:tr w:rsidR="00F11F72" w14:paraId="0DC32780" w14:textId="77777777" w:rsidTr="00171B73">
        <w:trPr>
          <w:cantSplit/>
        </w:trPr>
        <w:tc>
          <w:tcPr>
            <w:tcW w:w="4135" w:type="dxa"/>
          </w:tcPr>
          <w:p w14:paraId="248858D4" w14:textId="77777777" w:rsidR="00A86E2B" w:rsidRDefault="00A86E2B" w:rsidP="003E7A3D">
            <w:pPr>
              <w:spacing w:beforeLines="120" w:before="288" w:after="120"/>
              <w:rPr>
                <w:rFonts w:cs="Arial"/>
                <w:szCs w:val="24"/>
              </w:rPr>
            </w:pPr>
            <w:r>
              <w:rPr>
                <w:rFonts w:eastAsia="Times New Roman" w:cs="Arial"/>
                <w:color w:val="000000"/>
                <w:szCs w:val="24"/>
              </w:rPr>
              <w:lastRenderedPageBreak/>
              <w:t>Clearly and convincingly demonstrates</w:t>
            </w:r>
            <w:r w:rsidRPr="0084139F">
              <w:rPr>
                <w:rFonts w:eastAsia="Times New Roman" w:cs="Arial"/>
                <w:color w:val="000000"/>
                <w:szCs w:val="24"/>
              </w:rPr>
              <w:t xml:space="preserve"> previous experience and/or expertise in developing and delivering high-quality </w:t>
            </w:r>
            <w:r>
              <w:rPr>
                <w:rFonts w:eastAsia="Times New Roman" w:cs="Arial"/>
                <w:color w:val="000000"/>
                <w:szCs w:val="24"/>
              </w:rPr>
              <w:t>PL</w:t>
            </w:r>
            <w:r w:rsidRPr="0084139F">
              <w:rPr>
                <w:rFonts w:eastAsia="Times New Roman" w:cs="Arial"/>
                <w:color w:val="000000"/>
                <w:szCs w:val="24"/>
              </w:rPr>
              <w:t xml:space="preserve"> for educators, including teachers and paraprofessionals, to implement evidence-based intensive intervention strategies for pupils struggling with literacy, including tutoring and small group strategies, and strategies for target pupil groups.</w:t>
            </w:r>
          </w:p>
        </w:tc>
        <w:tc>
          <w:tcPr>
            <w:tcW w:w="2203" w:type="dxa"/>
          </w:tcPr>
          <w:p w14:paraId="1DC476B6" w14:textId="77777777" w:rsidR="00A86E2B" w:rsidRDefault="00A86E2B" w:rsidP="003E7A3D">
            <w:pPr>
              <w:spacing w:beforeLines="120" w:before="288" w:after="0"/>
              <w:jc w:val="center"/>
              <w:rPr>
                <w:rFonts w:cs="Arial"/>
                <w:szCs w:val="24"/>
              </w:rPr>
            </w:pPr>
            <w:r>
              <w:rPr>
                <w:rFonts w:cs="Arial"/>
                <w:szCs w:val="24"/>
              </w:rPr>
              <w:t>0</w:t>
            </w:r>
          </w:p>
          <w:p w14:paraId="150AF8B7" w14:textId="77777777" w:rsidR="00A86E2B" w:rsidRDefault="00A86E2B" w:rsidP="003E7A3D">
            <w:pPr>
              <w:spacing w:beforeLines="120" w:before="288" w:after="0"/>
              <w:jc w:val="center"/>
              <w:rPr>
                <w:rFonts w:cs="Arial"/>
                <w:szCs w:val="24"/>
              </w:rPr>
            </w:pPr>
            <w:r>
              <w:rPr>
                <w:rFonts w:cs="Arial"/>
                <w:szCs w:val="24"/>
              </w:rPr>
              <w:t>Requirement Not Addressed</w:t>
            </w:r>
          </w:p>
        </w:tc>
        <w:tc>
          <w:tcPr>
            <w:tcW w:w="2204" w:type="dxa"/>
          </w:tcPr>
          <w:p w14:paraId="60F43ABA" w14:textId="77777777" w:rsidR="00A86E2B" w:rsidRDefault="00A86E2B" w:rsidP="003E7A3D">
            <w:pPr>
              <w:spacing w:beforeLines="120" w:before="288" w:after="0"/>
              <w:jc w:val="center"/>
              <w:rPr>
                <w:rFonts w:cs="Arial"/>
                <w:szCs w:val="24"/>
              </w:rPr>
            </w:pPr>
            <w:r>
              <w:rPr>
                <w:rFonts w:cs="Arial"/>
                <w:szCs w:val="24"/>
              </w:rPr>
              <w:t>1</w:t>
            </w:r>
          </w:p>
          <w:p w14:paraId="147DDEE5" w14:textId="77777777" w:rsidR="00A86E2B" w:rsidRDefault="00A86E2B" w:rsidP="003E7A3D">
            <w:pPr>
              <w:spacing w:beforeLines="120" w:before="288" w:after="0"/>
              <w:jc w:val="center"/>
              <w:rPr>
                <w:rFonts w:cs="Arial"/>
                <w:szCs w:val="24"/>
              </w:rPr>
            </w:pPr>
            <w:r>
              <w:rPr>
                <w:rFonts w:cs="Arial"/>
                <w:szCs w:val="24"/>
              </w:rPr>
              <w:t>Requirement Partially Addressed</w:t>
            </w:r>
          </w:p>
        </w:tc>
        <w:tc>
          <w:tcPr>
            <w:tcW w:w="2204" w:type="dxa"/>
          </w:tcPr>
          <w:p w14:paraId="3BDCAB31" w14:textId="77777777" w:rsidR="00A86E2B" w:rsidRDefault="00A86E2B" w:rsidP="003E7A3D">
            <w:pPr>
              <w:spacing w:beforeLines="120" w:before="288" w:after="0"/>
              <w:jc w:val="center"/>
              <w:rPr>
                <w:rFonts w:cs="Arial"/>
                <w:szCs w:val="24"/>
              </w:rPr>
            </w:pPr>
            <w:r>
              <w:rPr>
                <w:rFonts w:cs="Arial"/>
                <w:szCs w:val="24"/>
              </w:rPr>
              <w:t>2</w:t>
            </w:r>
          </w:p>
          <w:p w14:paraId="1BA052E4" w14:textId="77777777" w:rsidR="00A86E2B" w:rsidRDefault="00A86E2B" w:rsidP="003E7A3D">
            <w:pPr>
              <w:spacing w:beforeLines="120" w:before="288" w:after="0"/>
              <w:jc w:val="center"/>
              <w:rPr>
                <w:rFonts w:cs="Arial"/>
                <w:szCs w:val="24"/>
              </w:rPr>
            </w:pPr>
            <w:r>
              <w:rPr>
                <w:rFonts w:cs="Arial"/>
                <w:szCs w:val="24"/>
              </w:rPr>
              <w:t>Requirement Met</w:t>
            </w:r>
          </w:p>
        </w:tc>
        <w:tc>
          <w:tcPr>
            <w:tcW w:w="2204" w:type="dxa"/>
          </w:tcPr>
          <w:p w14:paraId="7098B15E" w14:textId="77777777" w:rsidR="00A86E2B" w:rsidRDefault="00A86E2B" w:rsidP="003E7A3D">
            <w:pPr>
              <w:spacing w:beforeLines="120" w:before="288" w:after="0"/>
              <w:jc w:val="center"/>
              <w:rPr>
                <w:rFonts w:cs="Arial"/>
                <w:szCs w:val="24"/>
              </w:rPr>
            </w:pPr>
            <w:r>
              <w:rPr>
                <w:rFonts w:cs="Arial"/>
                <w:szCs w:val="24"/>
              </w:rPr>
              <w:t>3</w:t>
            </w:r>
          </w:p>
          <w:p w14:paraId="2CD95A5C" w14:textId="77777777" w:rsidR="00A86E2B" w:rsidRDefault="00A86E2B" w:rsidP="003E7A3D">
            <w:pPr>
              <w:spacing w:beforeLines="120" w:before="288" w:after="0"/>
              <w:jc w:val="center"/>
              <w:rPr>
                <w:rFonts w:cs="Arial"/>
                <w:szCs w:val="24"/>
              </w:rPr>
            </w:pPr>
            <w:r>
              <w:rPr>
                <w:rFonts w:cs="Arial"/>
                <w:szCs w:val="24"/>
              </w:rPr>
              <w:t>Requirement Exceeded</w:t>
            </w:r>
          </w:p>
        </w:tc>
      </w:tr>
      <w:tr w:rsidR="00F11F72" w14:paraId="2D8B6832" w14:textId="77777777" w:rsidTr="00171B73">
        <w:trPr>
          <w:cantSplit/>
        </w:trPr>
        <w:tc>
          <w:tcPr>
            <w:tcW w:w="4135" w:type="dxa"/>
          </w:tcPr>
          <w:p w14:paraId="3C043D88" w14:textId="28A30A2C" w:rsidR="001F225A" w:rsidRDefault="00A86E2B" w:rsidP="003E7A3D">
            <w:pPr>
              <w:spacing w:beforeLines="120" w:before="288" w:after="120"/>
              <w:rPr>
                <w:rFonts w:ascii="Times New Roman" w:eastAsia="Times New Roman" w:hAnsi="Times New Roman" w:cs="Times New Roman"/>
                <w:szCs w:val="24"/>
              </w:rPr>
            </w:pPr>
            <w:r>
              <w:rPr>
                <w:rFonts w:eastAsia="Times New Roman" w:cs="Arial"/>
                <w:color w:val="000000"/>
                <w:szCs w:val="24"/>
              </w:rPr>
              <w:t xml:space="preserve">Clearly and convincingly demonstrates </w:t>
            </w:r>
            <w:r w:rsidRPr="00BF51F5">
              <w:rPr>
                <w:rFonts w:eastAsia="Times New Roman" w:cs="Arial"/>
                <w:color w:val="000000"/>
                <w:szCs w:val="24"/>
              </w:rPr>
              <w:t xml:space="preserve">the applicant’s previous experience and/or expertise in developing and delivering high-quality </w:t>
            </w:r>
            <w:r>
              <w:rPr>
                <w:rFonts w:eastAsia="Times New Roman" w:cs="Arial"/>
                <w:color w:val="000000"/>
                <w:szCs w:val="24"/>
              </w:rPr>
              <w:t xml:space="preserve">PL </w:t>
            </w:r>
            <w:r w:rsidRPr="00BF51F5">
              <w:rPr>
                <w:rFonts w:eastAsia="Times New Roman" w:cs="Arial"/>
                <w:color w:val="000000"/>
                <w:szCs w:val="24"/>
              </w:rPr>
              <w:t>for all educators, including support staff, to implement evidence-based strategies to support the development of pupils’ executive functioning skills required for reading and oral language comprehension, fluency, and phonemic awareness.</w:t>
            </w:r>
          </w:p>
          <w:p w14:paraId="11C9F3AF" w14:textId="77777777" w:rsidR="00A86E2B" w:rsidRPr="001F225A" w:rsidRDefault="00A86E2B" w:rsidP="001F225A">
            <w:pPr>
              <w:jc w:val="center"/>
              <w:rPr>
                <w:rFonts w:ascii="Times New Roman" w:eastAsia="Times New Roman" w:hAnsi="Times New Roman" w:cs="Times New Roman"/>
                <w:szCs w:val="24"/>
              </w:rPr>
            </w:pPr>
          </w:p>
        </w:tc>
        <w:tc>
          <w:tcPr>
            <w:tcW w:w="2203" w:type="dxa"/>
          </w:tcPr>
          <w:p w14:paraId="09B94DEC" w14:textId="77777777" w:rsidR="00A86E2B" w:rsidRDefault="00A86E2B" w:rsidP="003E7A3D">
            <w:pPr>
              <w:spacing w:beforeLines="120" w:before="288" w:after="0"/>
              <w:jc w:val="center"/>
              <w:rPr>
                <w:rFonts w:cs="Arial"/>
                <w:szCs w:val="24"/>
              </w:rPr>
            </w:pPr>
            <w:r>
              <w:rPr>
                <w:rFonts w:cs="Arial"/>
                <w:szCs w:val="24"/>
              </w:rPr>
              <w:t>0</w:t>
            </w:r>
          </w:p>
          <w:p w14:paraId="24EEFD1A" w14:textId="77777777" w:rsidR="00A86E2B" w:rsidRDefault="00A86E2B" w:rsidP="003E7A3D">
            <w:pPr>
              <w:spacing w:beforeLines="120" w:before="288" w:after="0"/>
              <w:jc w:val="center"/>
              <w:rPr>
                <w:rFonts w:cs="Arial"/>
                <w:szCs w:val="24"/>
              </w:rPr>
            </w:pPr>
            <w:r>
              <w:rPr>
                <w:rFonts w:cs="Arial"/>
                <w:szCs w:val="24"/>
              </w:rPr>
              <w:t>Requirement Not Addressed</w:t>
            </w:r>
          </w:p>
        </w:tc>
        <w:tc>
          <w:tcPr>
            <w:tcW w:w="2204" w:type="dxa"/>
          </w:tcPr>
          <w:p w14:paraId="7F7081EB" w14:textId="77777777" w:rsidR="00A86E2B" w:rsidRDefault="00A86E2B" w:rsidP="003E7A3D">
            <w:pPr>
              <w:spacing w:beforeLines="120" w:before="288" w:after="0"/>
              <w:jc w:val="center"/>
              <w:rPr>
                <w:rFonts w:cs="Arial"/>
                <w:szCs w:val="24"/>
              </w:rPr>
            </w:pPr>
            <w:r>
              <w:rPr>
                <w:rFonts w:cs="Arial"/>
                <w:szCs w:val="24"/>
              </w:rPr>
              <w:t>1</w:t>
            </w:r>
          </w:p>
          <w:p w14:paraId="1A350C69" w14:textId="77777777" w:rsidR="00A86E2B" w:rsidRDefault="00A86E2B" w:rsidP="003E7A3D">
            <w:pPr>
              <w:spacing w:beforeLines="120" w:before="288" w:after="0"/>
              <w:jc w:val="center"/>
              <w:rPr>
                <w:rFonts w:cs="Arial"/>
                <w:szCs w:val="24"/>
              </w:rPr>
            </w:pPr>
            <w:r>
              <w:rPr>
                <w:rFonts w:cs="Arial"/>
                <w:szCs w:val="24"/>
              </w:rPr>
              <w:t>Requirement Partially Addressed</w:t>
            </w:r>
          </w:p>
        </w:tc>
        <w:tc>
          <w:tcPr>
            <w:tcW w:w="2204" w:type="dxa"/>
          </w:tcPr>
          <w:p w14:paraId="0029CB53" w14:textId="77777777" w:rsidR="00A86E2B" w:rsidRDefault="00A86E2B" w:rsidP="003E7A3D">
            <w:pPr>
              <w:spacing w:beforeLines="120" w:before="288" w:after="0"/>
              <w:jc w:val="center"/>
              <w:rPr>
                <w:rFonts w:cs="Arial"/>
                <w:szCs w:val="24"/>
              </w:rPr>
            </w:pPr>
            <w:r>
              <w:rPr>
                <w:rFonts w:cs="Arial"/>
                <w:szCs w:val="24"/>
              </w:rPr>
              <w:t>2</w:t>
            </w:r>
          </w:p>
          <w:p w14:paraId="5E69E4F3" w14:textId="77777777" w:rsidR="00A86E2B" w:rsidRDefault="00A86E2B" w:rsidP="003E7A3D">
            <w:pPr>
              <w:spacing w:beforeLines="120" w:before="288" w:after="0"/>
              <w:jc w:val="center"/>
              <w:rPr>
                <w:rFonts w:cs="Arial"/>
                <w:szCs w:val="24"/>
              </w:rPr>
            </w:pPr>
            <w:r>
              <w:rPr>
                <w:rFonts w:cs="Arial"/>
                <w:szCs w:val="24"/>
              </w:rPr>
              <w:t>Requirement Met</w:t>
            </w:r>
          </w:p>
        </w:tc>
        <w:tc>
          <w:tcPr>
            <w:tcW w:w="2204" w:type="dxa"/>
          </w:tcPr>
          <w:p w14:paraId="1F812828" w14:textId="77777777" w:rsidR="00A86E2B" w:rsidRDefault="00A86E2B" w:rsidP="003E7A3D">
            <w:pPr>
              <w:spacing w:beforeLines="120" w:before="288" w:after="0"/>
              <w:jc w:val="center"/>
              <w:rPr>
                <w:rFonts w:cs="Arial"/>
                <w:szCs w:val="24"/>
              </w:rPr>
            </w:pPr>
            <w:r>
              <w:rPr>
                <w:rFonts w:cs="Arial"/>
                <w:szCs w:val="24"/>
              </w:rPr>
              <w:t>3</w:t>
            </w:r>
          </w:p>
          <w:p w14:paraId="38EE3B48" w14:textId="77777777" w:rsidR="00A86E2B" w:rsidRDefault="00A86E2B" w:rsidP="003E7A3D">
            <w:pPr>
              <w:spacing w:beforeLines="120" w:before="288" w:after="0"/>
              <w:jc w:val="center"/>
              <w:rPr>
                <w:rFonts w:cs="Arial"/>
                <w:szCs w:val="24"/>
              </w:rPr>
            </w:pPr>
            <w:r>
              <w:rPr>
                <w:rFonts w:cs="Arial"/>
                <w:szCs w:val="24"/>
              </w:rPr>
              <w:t>Requirement Exceeded</w:t>
            </w:r>
          </w:p>
        </w:tc>
      </w:tr>
    </w:tbl>
    <w:p w14:paraId="1852E6CB" w14:textId="509EB3BC" w:rsidR="00A86E2B" w:rsidRDefault="00171B73" w:rsidP="007959A2">
      <w:pPr>
        <w:pStyle w:val="Heading5"/>
      </w:pPr>
      <w:r w:rsidRPr="00BF51F5">
        <w:lastRenderedPageBreak/>
        <w:t xml:space="preserve">Part </w:t>
      </w:r>
      <w:r>
        <w:t>2</w:t>
      </w:r>
      <w:r w:rsidRPr="00BF51F5">
        <w:t xml:space="preserve">: </w:t>
      </w:r>
      <w:r>
        <w:t>Project Plan</w:t>
      </w:r>
    </w:p>
    <w:tbl>
      <w:tblPr>
        <w:tblStyle w:val="TableGrid"/>
        <w:tblW w:w="0" w:type="auto"/>
        <w:tblLook w:val="04A0" w:firstRow="1" w:lastRow="0" w:firstColumn="1" w:lastColumn="0" w:noHBand="0" w:noVBand="1"/>
        <w:tblDescription w:val="Part 2: Project Plan Table"/>
      </w:tblPr>
      <w:tblGrid>
        <w:gridCol w:w="4135"/>
        <w:gridCol w:w="2203"/>
        <w:gridCol w:w="2204"/>
        <w:gridCol w:w="2204"/>
        <w:gridCol w:w="2204"/>
      </w:tblGrid>
      <w:tr w:rsidR="0086652B" w14:paraId="1CA5E574" w14:textId="77777777" w:rsidTr="007959A2">
        <w:trPr>
          <w:cantSplit/>
          <w:tblHeader/>
        </w:trPr>
        <w:tc>
          <w:tcPr>
            <w:tcW w:w="4135" w:type="dxa"/>
          </w:tcPr>
          <w:p w14:paraId="53E3465E" w14:textId="1FA8EA86" w:rsidR="0086652B" w:rsidRDefault="0086652B" w:rsidP="0086652B">
            <w:pPr>
              <w:spacing w:before="120"/>
            </w:pPr>
            <w:r>
              <w:rPr>
                <w:rFonts w:cs="Arial"/>
                <w:b/>
                <w:szCs w:val="24"/>
              </w:rPr>
              <w:t>Requirement</w:t>
            </w:r>
          </w:p>
        </w:tc>
        <w:tc>
          <w:tcPr>
            <w:tcW w:w="2203" w:type="dxa"/>
          </w:tcPr>
          <w:p w14:paraId="510F5D03" w14:textId="2E39DEE9" w:rsidR="0086652B" w:rsidRDefault="0086652B" w:rsidP="0086652B">
            <w:pPr>
              <w:spacing w:before="120"/>
              <w:jc w:val="center"/>
            </w:pPr>
            <w:r>
              <w:rPr>
                <w:rFonts w:cs="Arial"/>
                <w:szCs w:val="24"/>
              </w:rPr>
              <w:t>Requirement Not Addressed</w:t>
            </w:r>
          </w:p>
        </w:tc>
        <w:tc>
          <w:tcPr>
            <w:tcW w:w="2204" w:type="dxa"/>
          </w:tcPr>
          <w:p w14:paraId="55702643" w14:textId="7D296E60" w:rsidR="0086652B" w:rsidRDefault="0086652B" w:rsidP="0086652B">
            <w:pPr>
              <w:spacing w:before="120"/>
              <w:jc w:val="center"/>
            </w:pPr>
            <w:r>
              <w:rPr>
                <w:rFonts w:cs="Arial"/>
                <w:szCs w:val="24"/>
              </w:rPr>
              <w:t>Requirement Partially Addressed</w:t>
            </w:r>
          </w:p>
        </w:tc>
        <w:tc>
          <w:tcPr>
            <w:tcW w:w="2204" w:type="dxa"/>
          </w:tcPr>
          <w:p w14:paraId="4A78C0F0" w14:textId="397C61FF" w:rsidR="0086652B" w:rsidRDefault="0086652B" w:rsidP="0086652B">
            <w:pPr>
              <w:spacing w:before="120"/>
              <w:jc w:val="center"/>
            </w:pPr>
            <w:r>
              <w:rPr>
                <w:rFonts w:cs="Arial"/>
                <w:szCs w:val="24"/>
              </w:rPr>
              <w:t>Requirement Met</w:t>
            </w:r>
          </w:p>
        </w:tc>
        <w:tc>
          <w:tcPr>
            <w:tcW w:w="2204" w:type="dxa"/>
          </w:tcPr>
          <w:p w14:paraId="158EA6E9" w14:textId="73C836B2" w:rsidR="0086652B" w:rsidRDefault="0086652B" w:rsidP="0086652B">
            <w:pPr>
              <w:spacing w:before="120"/>
              <w:jc w:val="center"/>
            </w:pPr>
            <w:r>
              <w:rPr>
                <w:rFonts w:cs="Arial"/>
                <w:szCs w:val="24"/>
              </w:rPr>
              <w:t>Requirement Exceeded</w:t>
            </w:r>
          </w:p>
        </w:tc>
      </w:tr>
      <w:tr w:rsidR="0086652B" w14:paraId="5DCA3957" w14:textId="77777777" w:rsidTr="007959A2">
        <w:trPr>
          <w:cantSplit/>
        </w:trPr>
        <w:tc>
          <w:tcPr>
            <w:tcW w:w="4135" w:type="dxa"/>
          </w:tcPr>
          <w:p w14:paraId="23605E72" w14:textId="07712C7F" w:rsidR="0086652B" w:rsidRDefault="0086652B" w:rsidP="0086652B">
            <w:r>
              <w:rPr>
                <w:rFonts w:cs="Arial"/>
              </w:rPr>
              <w:t>O</w:t>
            </w:r>
            <w:r w:rsidRPr="00304209">
              <w:rPr>
                <w:rFonts w:cs="Arial"/>
              </w:rPr>
              <w:t>verview of the project plan</w:t>
            </w:r>
            <w:r>
              <w:rPr>
                <w:rFonts w:cs="Arial"/>
              </w:rPr>
              <w:t xml:space="preserve"> convincingly </w:t>
            </w:r>
            <w:r w:rsidRPr="00304209">
              <w:rPr>
                <w:rFonts w:cs="Arial"/>
              </w:rPr>
              <w:t>describ</w:t>
            </w:r>
            <w:r>
              <w:rPr>
                <w:rFonts w:cs="Arial"/>
              </w:rPr>
              <w:t>es</w:t>
            </w:r>
            <w:r w:rsidRPr="00304209">
              <w:rPr>
                <w:rFonts w:cs="Arial"/>
              </w:rPr>
              <w:t xml:space="preserve"> how the applicant will use the funding to generate and disseminate PL opportunities</w:t>
            </w:r>
            <w:r>
              <w:rPr>
                <w:rFonts w:cs="Arial"/>
              </w:rPr>
              <w:t xml:space="preserve"> </w:t>
            </w:r>
            <w:r w:rsidRPr="00304209">
              <w:rPr>
                <w:rFonts w:cs="Arial"/>
              </w:rPr>
              <w:t xml:space="preserve">for educators </w:t>
            </w:r>
            <w:r>
              <w:rPr>
                <w:rFonts w:cs="Arial"/>
              </w:rPr>
              <w:t xml:space="preserve">across the state </w:t>
            </w:r>
            <w:r w:rsidRPr="00304209">
              <w:rPr>
                <w:rFonts w:cs="Arial"/>
              </w:rPr>
              <w:t>in the areas of evidence-based literacy</w:t>
            </w:r>
            <w:r>
              <w:rPr>
                <w:rFonts w:cs="Arial"/>
              </w:rPr>
              <w:t xml:space="preserve"> instruction</w:t>
            </w:r>
            <w:r w:rsidRPr="00304209">
              <w:rPr>
                <w:rFonts w:cs="Arial"/>
              </w:rPr>
              <w:t>, intensive literacy interventions, and support of pupils’ executive functioning skills</w:t>
            </w:r>
            <w:r>
              <w:rPr>
                <w:rFonts w:cs="Arial"/>
              </w:rPr>
              <w:t xml:space="preserve">, particularly in the context of </w:t>
            </w:r>
            <w:r w:rsidRPr="00201380">
              <w:rPr>
                <w:rFonts w:cs="Arial"/>
                <w:color w:val="000000"/>
              </w:rPr>
              <w:t xml:space="preserve">accelerated learning </w:t>
            </w:r>
            <w:r>
              <w:rPr>
                <w:rFonts w:cs="Arial"/>
                <w:color w:val="000000"/>
              </w:rPr>
              <w:t>post-pandemic</w:t>
            </w:r>
            <w:r w:rsidRPr="00201380">
              <w:rPr>
                <w:rFonts w:cs="Arial"/>
                <w:color w:val="000000"/>
              </w:rPr>
              <w:t>.</w:t>
            </w:r>
          </w:p>
        </w:tc>
        <w:tc>
          <w:tcPr>
            <w:tcW w:w="2203" w:type="dxa"/>
          </w:tcPr>
          <w:p w14:paraId="1BC4C76D" w14:textId="77777777" w:rsidR="0086652B" w:rsidRDefault="0086652B" w:rsidP="0086652B">
            <w:pPr>
              <w:spacing w:beforeLines="120" w:before="288" w:after="0"/>
              <w:jc w:val="center"/>
              <w:rPr>
                <w:rFonts w:cs="Arial"/>
                <w:szCs w:val="24"/>
              </w:rPr>
            </w:pPr>
            <w:r>
              <w:rPr>
                <w:rFonts w:cs="Arial"/>
                <w:szCs w:val="24"/>
              </w:rPr>
              <w:t>0</w:t>
            </w:r>
          </w:p>
          <w:p w14:paraId="431403F2" w14:textId="6723586B" w:rsidR="0086652B" w:rsidRDefault="0086652B" w:rsidP="0086652B">
            <w:r>
              <w:rPr>
                <w:rFonts w:cs="Arial"/>
                <w:szCs w:val="24"/>
              </w:rPr>
              <w:t>Requirement Not Addressed</w:t>
            </w:r>
          </w:p>
        </w:tc>
        <w:tc>
          <w:tcPr>
            <w:tcW w:w="2204" w:type="dxa"/>
          </w:tcPr>
          <w:p w14:paraId="5203E713" w14:textId="77777777" w:rsidR="0086652B" w:rsidRDefault="0086652B" w:rsidP="0086652B">
            <w:pPr>
              <w:spacing w:beforeLines="120" w:before="288" w:after="0"/>
              <w:jc w:val="center"/>
              <w:rPr>
                <w:rFonts w:cs="Arial"/>
                <w:szCs w:val="24"/>
              </w:rPr>
            </w:pPr>
            <w:r>
              <w:rPr>
                <w:rFonts w:cs="Arial"/>
                <w:szCs w:val="24"/>
              </w:rPr>
              <w:t>1</w:t>
            </w:r>
          </w:p>
          <w:p w14:paraId="71E82E28" w14:textId="7AC49472" w:rsidR="0086652B" w:rsidRDefault="0086652B" w:rsidP="0086652B">
            <w:r>
              <w:rPr>
                <w:rFonts w:cs="Arial"/>
                <w:szCs w:val="24"/>
              </w:rPr>
              <w:t>Requirement Partially Addressed</w:t>
            </w:r>
          </w:p>
        </w:tc>
        <w:tc>
          <w:tcPr>
            <w:tcW w:w="2204" w:type="dxa"/>
          </w:tcPr>
          <w:p w14:paraId="627FE3BB" w14:textId="77777777" w:rsidR="0086652B" w:rsidRDefault="0086652B" w:rsidP="0086652B">
            <w:pPr>
              <w:spacing w:beforeLines="120" w:before="288" w:after="0"/>
              <w:jc w:val="center"/>
              <w:rPr>
                <w:rFonts w:cs="Arial"/>
                <w:szCs w:val="24"/>
              </w:rPr>
            </w:pPr>
            <w:r>
              <w:rPr>
                <w:rFonts w:cs="Arial"/>
                <w:szCs w:val="24"/>
              </w:rPr>
              <w:t>2</w:t>
            </w:r>
          </w:p>
          <w:p w14:paraId="733FAD2A" w14:textId="5F5062C2" w:rsidR="0086652B" w:rsidRDefault="0086652B" w:rsidP="0086652B">
            <w:r>
              <w:rPr>
                <w:rFonts w:cs="Arial"/>
                <w:szCs w:val="24"/>
              </w:rPr>
              <w:t>Requirement Met</w:t>
            </w:r>
          </w:p>
        </w:tc>
        <w:tc>
          <w:tcPr>
            <w:tcW w:w="2204" w:type="dxa"/>
          </w:tcPr>
          <w:p w14:paraId="29E9A6E9" w14:textId="77777777" w:rsidR="0086652B" w:rsidRDefault="0086652B" w:rsidP="0086652B">
            <w:pPr>
              <w:spacing w:beforeLines="120" w:before="288" w:after="0"/>
              <w:jc w:val="center"/>
              <w:rPr>
                <w:rFonts w:cs="Arial"/>
                <w:szCs w:val="24"/>
              </w:rPr>
            </w:pPr>
            <w:r>
              <w:rPr>
                <w:rFonts w:cs="Arial"/>
                <w:szCs w:val="24"/>
              </w:rPr>
              <w:t>3</w:t>
            </w:r>
          </w:p>
          <w:p w14:paraId="6CE30F2E" w14:textId="03B50AD8" w:rsidR="0086652B" w:rsidRDefault="0086652B" w:rsidP="0086652B">
            <w:r>
              <w:rPr>
                <w:rFonts w:cs="Arial"/>
                <w:szCs w:val="24"/>
              </w:rPr>
              <w:t>Requirement Exceeded</w:t>
            </w:r>
          </w:p>
        </w:tc>
      </w:tr>
      <w:tr w:rsidR="0086652B" w14:paraId="7FE9C20E" w14:textId="77777777" w:rsidTr="007959A2">
        <w:trPr>
          <w:cantSplit/>
        </w:trPr>
        <w:tc>
          <w:tcPr>
            <w:tcW w:w="4135" w:type="dxa"/>
          </w:tcPr>
          <w:p w14:paraId="3206B285" w14:textId="536DBDE9" w:rsidR="0086652B" w:rsidRDefault="0086652B" w:rsidP="0086652B">
            <w:r w:rsidRPr="001D79C5">
              <w:rPr>
                <w:rFonts w:eastAsia="Times New Roman" w:cs="Arial"/>
                <w:color w:val="000000"/>
                <w:szCs w:val="24"/>
              </w:rPr>
              <w:t xml:space="preserve">Clearly describes target participants, </w:t>
            </w:r>
            <w:r w:rsidRPr="00F534AA">
              <w:rPr>
                <w:rFonts w:eastAsia="Times New Roman" w:cs="Arial"/>
                <w:color w:val="000000"/>
                <w:szCs w:val="24"/>
              </w:rPr>
              <w:t>including the type and number of educators and school leaders who will be served and their locations, including</w:t>
            </w:r>
            <w:r w:rsidRPr="00F534AA">
              <w:rPr>
                <w:rFonts w:eastAsia="Times New Roman" w:cs="Arial"/>
                <w:color w:val="000000"/>
                <w:szCs w:val="24"/>
                <w:shd w:val="clear" w:color="auto" w:fill="FFFFFF"/>
              </w:rPr>
              <w:t xml:space="preserve"> how the proposed activities will ensure</w:t>
            </w:r>
            <w:r>
              <w:rPr>
                <w:rFonts w:eastAsia="Times New Roman" w:cs="Arial"/>
                <w:color w:val="000000"/>
                <w:szCs w:val="24"/>
                <w:shd w:val="clear" w:color="auto" w:fill="FFFFFF"/>
              </w:rPr>
              <w:t xml:space="preserve"> that</w:t>
            </w:r>
            <w:r w:rsidRPr="00F534AA">
              <w:rPr>
                <w:rFonts w:eastAsia="Times New Roman" w:cs="Arial"/>
                <w:color w:val="000000"/>
                <w:szCs w:val="24"/>
                <w:shd w:val="clear" w:color="auto" w:fill="FFFFFF"/>
              </w:rPr>
              <w:t xml:space="preserve"> the </w:t>
            </w:r>
            <w:r>
              <w:rPr>
                <w:rFonts w:eastAsia="Times New Roman" w:cs="Arial"/>
                <w:color w:val="000000"/>
                <w:szCs w:val="24"/>
                <w:shd w:val="clear" w:color="auto" w:fill="FFFFFF"/>
              </w:rPr>
              <w:t>PL opportunities are provided</w:t>
            </w:r>
            <w:r w:rsidRPr="00F534AA">
              <w:rPr>
                <w:rFonts w:eastAsia="Times New Roman" w:cs="Arial"/>
                <w:color w:val="000000"/>
                <w:szCs w:val="24"/>
                <w:shd w:val="clear" w:color="auto" w:fill="FFFFFF"/>
              </w:rPr>
              <w:t xml:space="preserve"> to urban, suburban, and rural settings throughout the state </w:t>
            </w:r>
            <w:r>
              <w:rPr>
                <w:rFonts w:eastAsia="Times New Roman" w:cs="Arial"/>
                <w:color w:val="000000"/>
                <w:szCs w:val="24"/>
                <w:shd w:val="clear" w:color="auto" w:fill="FFFFFF"/>
              </w:rPr>
              <w:t>and are</w:t>
            </w:r>
            <w:r w:rsidRPr="00F534AA">
              <w:rPr>
                <w:rFonts w:eastAsia="Times New Roman" w:cs="Arial"/>
                <w:color w:val="000000"/>
                <w:szCs w:val="24"/>
                <w:shd w:val="clear" w:color="auto" w:fill="FFFFFF"/>
              </w:rPr>
              <w:t xml:space="preserve"> differentiated to meet local needs.</w:t>
            </w:r>
          </w:p>
        </w:tc>
        <w:tc>
          <w:tcPr>
            <w:tcW w:w="2203" w:type="dxa"/>
          </w:tcPr>
          <w:p w14:paraId="341B6B63" w14:textId="77777777" w:rsidR="0086652B" w:rsidRDefault="0086652B" w:rsidP="0086652B">
            <w:pPr>
              <w:spacing w:beforeLines="120" w:before="288" w:after="0"/>
              <w:jc w:val="center"/>
              <w:rPr>
                <w:rFonts w:cs="Arial"/>
                <w:szCs w:val="24"/>
              </w:rPr>
            </w:pPr>
            <w:r>
              <w:rPr>
                <w:rFonts w:cs="Arial"/>
                <w:szCs w:val="24"/>
              </w:rPr>
              <w:t>0</w:t>
            </w:r>
          </w:p>
          <w:p w14:paraId="45FB7215" w14:textId="1AF38358" w:rsidR="0086652B" w:rsidRDefault="0086652B" w:rsidP="0086652B">
            <w:r>
              <w:rPr>
                <w:rFonts w:cs="Arial"/>
                <w:szCs w:val="24"/>
              </w:rPr>
              <w:t>Requirement Not Addressed</w:t>
            </w:r>
          </w:p>
        </w:tc>
        <w:tc>
          <w:tcPr>
            <w:tcW w:w="2204" w:type="dxa"/>
          </w:tcPr>
          <w:p w14:paraId="0B027A4C" w14:textId="77777777" w:rsidR="0086652B" w:rsidRDefault="0086652B" w:rsidP="0086652B">
            <w:pPr>
              <w:spacing w:beforeLines="120" w:before="288" w:after="0"/>
              <w:jc w:val="center"/>
              <w:rPr>
                <w:rFonts w:cs="Arial"/>
                <w:szCs w:val="24"/>
              </w:rPr>
            </w:pPr>
            <w:r>
              <w:rPr>
                <w:rFonts w:cs="Arial"/>
                <w:szCs w:val="24"/>
              </w:rPr>
              <w:t>1</w:t>
            </w:r>
          </w:p>
          <w:p w14:paraId="5A545A55" w14:textId="791A7957" w:rsidR="0086652B" w:rsidRDefault="0086652B" w:rsidP="0086652B">
            <w:r>
              <w:rPr>
                <w:rFonts w:cs="Arial"/>
                <w:szCs w:val="24"/>
              </w:rPr>
              <w:t>Requirement Partially Addressed</w:t>
            </w:r>
          </w:p>
        </w:tc>
        <w:tc>
          <w:tcPr>
            <w:tcW w:w="2204" w:type="dxa"/>
          </w:tcPr>
          <w:p w14:paraId="07AE069B" w14:textId="77777777" w:rsidR="0086652B" w:rsidRDefault="0086652B" w:rsidP="0086652B">
            <w:pPr>
              <w:spacing w:beforeLines="120" w:before="288" w:after="0"/>
              <w:jc w:val="center"/>
              <w:rPr>
                <w:rFonts w:cs="Arial"/>
                <w:szCs w:val="24"/>
              </w:rPr>
            </w:pPr>
            <w:r>
              <w:rPr>
                <w:rFonts w:cs="Arial"/>
                <w:szCs w:val="24"/>
              </w:rPr>
              <w:t>2</w:t>
            </w:r>
          </w:p>
          <w:p w14:paraId="711A4C63" w14:textId="3A400F7F" w:rsidR="0086652B" w:rsidRDefault="0086652B" w:rsidP="0086652B">
            <w:r>
              <w:rPr>
                <w:rFonts w:cs="Arial"/>
                <w:szCs w:val="24"/>
              </w:rPr>
              <w:t>Requirement Met</w:t>
            </w:r>
          </w:p>
        </w:tc>
        <w:tc>
          <w:tcPr>
            <w:tcW w:w="2204" w:type="dxa"/>
          </w:tcPr>
          <w:p w14:paraId="469F54E7" w14:textId="77777777" w:rsidR="0086652B" w:rsidRDefault="0086652B" w:rsidP="0086652B">
            <w:pPr>
              <w:spacing w:beforeLines="120" w:before="288" w:after="0"/>
              <w:jc w:val="center"/>
              <w:rPr>
                <w:rFonts w:cs="Arial"/>
                <w:szCs w:val="24"/>
              </w:rPr>
            </w:pPr>
            <w:r>
              <w:rPr>
                <w:rFonts w:cs="Arial"/>
                <w:szCs w:val="24"/>
              </w:rPr>
              <w:t>3</w:t>
            </w:r>
          </w:p>
          <w:p w14:paraId="18F1662E" w14:textId="6988EC9F" w:rsidR="0086652B" w:rsidRDefault="0086652B" w:rsidP="0086652B">
            <w:r>
              <w:rPr>
                <w:rFonts w:cs="Arial"/>
                <w:szCs w:val="24"/>
              </w:rPr>
              <w:t>Requirement Exceeded</w:t>
            </w:r>
          </w:p>
        </w:tc>
      </w:tr>
      <w:tr w:rsidR="007959A2" w14:paraId="3E36C3FA" w14:textId="77777777" w:rsidTr="007959A2">
        <w:trPr>
          <w:cantSplit/>
        </w:trPr>
        <w:tc>
          <w:tcPr>
            <w:tcW w:w="4135" w:type="dxa"/>
          </w:tcPr>
          <w:p w14:paraId="1202396F" w14:textId="77777777" w:rsidR="007959A2" w:rsidRDefault="007959A2" w:rsidP="00DD3133">
            <w:r>
              <w:rPr>
                <w:rFonts w:cs="Arial"/>
                <w:color w:val="000000"/>
              </w:rPr>
              <w:lastRenderedPageBreak/>
              <w:t>Convincingly d</w:t>
            </w:r>
            <w:r w:rsidRPr="00F534AA">
              <w:rPr>
                <w:rFonts w:cs="Arial"/>
                <w:color w:val="000000"/>
              </w:rPr>
              <w:t>escribe</w:t>
            </w:r>
            <w:r>
              <w:rPr>
                <w:rFonts w:cs="Arial"/>
                <w:color w:val="000000"/>
              </w:rPr>
              <w:t>s</w:t>
            </w:r>
            <w:r w:rsidRPr="00F534AA">
              <w:rPr>
                <w:rFonts w:cs="Arial"/>
                <w:color w:val="000000"/>
              </w:rPr>
              <w:t xml:space="preserve"> how the proposed </w:t>
            </w:r>
            <w:r>
              <w:rPr>
                <w:rFonts w:cs="Arial"/>
                <w:color w:val="000000"/>
              </w:rPr>
              <w:t>PL</w:t>
            </w:r>
            <w:r w:rsidRPr="00F534AA">
              <w:rPr>
                <w:rFonts w:cs="Arial"/>
                <w:color w:val="000000"/>
              </w:rPr>
              <w:t xml:space="preserve"> will support educator capacity to implement evidence-based literacy, intensive literacy interventions, and practices in support of pupils’ executive functioning skills.</w:t>
            </w:r>
          </w:p>
        </w:tc>
        <w:tc>
          <w:tcPr>
            <w:tcW w:w="2203" w:type="dxa"/>
          </w:tcPr>
          <w:p w14:paraId="7A620879" w14:textId="77777777" w:rsidR="007959A2" w:rsidRDefault="007959A2" w:rsidP="00DD3133">
            <w:pPr>
              <w:spacing w:beforeLines="120" w:before="288" w:after="0"/>
              <w:jc w:val="center"/>
              <w:rPr>
                <w:rFonts w:cs="Arial"/>
                <w:szCs w:val="24"/>
              </w:rPr>
            </w:pPr>
            <w:r>
              <w:rPr>
                <w:rFonts w:cs="Arial"/>
                <w:szCs w:val="24"/>
              </w:rPr>
              <w:t>0</w:t>
            </w:r>
          </w:p>
          <w:p w14:paraId="1DEC1028" w14:textId="77777777" w:rsidR="007959A2" w:rsidRDefault="007959A2" w:rsidP="00DD3133">
            <w:r>
              <w:rPr>
                <w:rFonts w:cs="Arial"/>
                <w:szCs w:val="24"/>
              </w:rPr>
              <w:t>Requirement Not Addressed</w:t>
            </w:r>
          </w:p>
        </w:tc>
        <w:tc>
          <w:tcPr>
            <w:tcW w:w="2204" w:type="dxa"/>
          </w:tcPr>
          <w:p w14:paraId="04348E4D" w14:textId="77777777" w:rsidR="007959A2" w:rsidRDefault="007959A2" w:rsidP="00DD3133">
            <w:pPr>
              <w:spacing w:beforeLines="120" w:before="288" w:after="0"/>
              <w:jc w:val="center"/>
              <w:rPr>
                <w:rFonts w:cs="Arial"/>
                <w:szCs w:val="24"/>
              </w:rPr>
            </w:pPr>
            <w:r>
              <w:rPr>
                <w:rFonts w:cs="Arial"/>
                <w:szCs w:val="24"/>
              </w:rPr>
              <w:t>1</w:t>
            </w:r>
          </w:p>
          <w:p w14:paraId="6F43C330" w14:textId="77777777" w:rsidR="007959A2" w:rsidRDefault="007959A2" w:rsidP="00DD3133">
            <w:r>
              <w:rPr>
                <w:rFonts w:cs="Arial"/>
                <w:szCs w:val="24"/>
              </w:rPr>
              <w:t>Requirement Partially Addressed</w:t>
            </w:r>
          </w:p>
        </w:tc>
        <w:tc>
          <w:tcPr>
            <w:tcW w:w="2204" w:type="dxa"/>
          </w:tcPr>
          <w:p w14:paraId="15A3F084" w14:textId="77777777" w:rsidR="007959A2" w:rsidRDefault="007959A2" w:rsidP="00DD3133">
            <w:pPr>
              <w:spacing w:beforeLines="120" w:before="288" w:after="0"/>
              <w:jc w:val="center"/>
              <w:rPr>
                <w:rFonts w:cs="Arial"/>
                <w:szCs w:val="24"/>
              </w:rPr>
            </w:pPr>
            <w:r>
              <w:rPr>
                <w:rFonts w:cs="Arial"/>
                <w:szCs w:val="24"/>
              </w:rPr>
              <w:t>2</w:t>
            </w:r>
          </w:p>
          <w:p w14:paraId="4D4EB6F8" w14:textId="77777777" w:rsidR="007959A2" w:rsidRDefault="007959A2" w:rsidP="00DD3133">
            <w:r>
              <w:rPr>
                <w:rFonts w:cs="Arial"/>
                <w:szCs w:val="24"/>
              </w:rPr>
              <w:t>Requirement Met</w:t>
            </w:r>
          </w:p>
        </w:tc>
        <w:tc>
          <w:tcPr>
            <w:tcW w:w="2204" w:type="dxa"/>
          </w:tcPr>
          <w:p w14:paraId="5FCE18B7" w14:textId="77777777" w:rsidR="007959A2" w:rsidRDefault="007959A2" w:rsidP="00DD3133">
            <w:pPr>
              <w:spacing w:beforeLines="120" w:before="288" w:after="0"/>
              <w:jc w:val="center"/>
              <w:rPr>
                <w:rFonts w:cs="Arial"/>
                <w:szCs w:val="24"/>
              </w:rPr>
            </w:pPr>
            <w:r>
              <w:rPr>
                <w:rFonts w:cs="Arial"/>
                <w:szCs w:val="24"/>
              </w:rPr>
              <w:t>3</w:t>
            </w:r>
          </w:p>
          <w:p w14:paraId="00970F68" w14:textId="77777777" w:rsidR="007959A2" w:rsidRDefault="007959A2" w:rsidP="00DD3133">
            <w:r>
              <w:rPr>
                <w:rFonts w:cs="Arial"/>
                <w:szCs w:val="24"/>
              </w:rPr>
              <w:t>Requirement Exceeded</w:t>
            </w:r>
          </w:p>
        </w:tc>
      </w:tr>
      <w:tr w:rsidR="007959A2" w14:paraId="23739ED0" w14:textId="77777777" w:rsidTr="007959A2">
        <w:trPr>
          <w:cantSplit/>
        </w:trPr>
        <w:tc>
          <w:tcPr>
            <w:tcW w:w="4135" w:type="dxa"/>
          </w:tcPr>
          <w:p w14:paraId="56091454" w14:textId="77777777" w:rsidR="007959A2" w:rsidRDefault="007959A2" w:rsidP="00DD3133">
            <w:r>
              <w:rPr>
                <w:rFonts w:cs="Arial"/>
                <w:color w:val="000000"/>
              </w:rPr>
              <w:t>Convincingly d</w:t>
            </w:r>
            <w:r w:rsidRPr="00646C4B">
              <w:rPr>
                <w:rFonts w:cs="Arial"/>
                <w:color w:val="000000"/>
              </w:rPr>
              <w:t>escribe</w:t>
            </w:r>
            <w:r>
              <w:rPr>
                <w:rFonts w:cs="Arial"/>
                <w:color w:val="000000"/>
              </w:rPr>
              <w:t>s</w:t>
            </w:r>
            <w:r w:rsidRPr="00646C4B">
              <w:rPr>
                <w:rFonts w:cs="Arial"/>
                <w:color w:val="000000"/>
              </w:rPr>
              <w:t xml:space="preserve"> how the proposed </w:t>
            </w:r>
            <w:r>
              <w:rPr>
                <w:rFonts w:cs="Arial"/>
                <w:color w:val="000000"/>
              </w:rPr>
              <w:t>PL</w:t>
            </w:r>
            <w:r w:rsidRPr="00646C4B">
              <w:rPr>
                <w:rFonts w:cs="Arial"/>
                <w:color w:val="000000"/>
              </w:rPr>
              <w:t xml:space="preserve"> </w:t>
            </w:r>
            <w:r>
              <w:rPr>
                <w:rFonts w:cs="Arial"/>
                <w:color w:val="000000"/>
              </w:rPr>
              <w:t xml:space="preserve">will increase </w:t>
            </w:r>
            <w:r w:rsidRPr="00646C4B">
              <w:rPr>
                <w:rFonts w:cs="Arial"/>
                <w:color w:val="000000"/>
              </w:rPr>
              <w:t xml:space="preserve">educator capacity to effectively collect, analyze, and respond to data to support </w:t>
            </w:r>
            <w:r>
              <w:rPr>
                <w:rFonts w:cs="Arial"/>
                <w:color w:val="000000"/>
              </w:rPr>
              <w:t xml:space="preserve">instruction and achieve </w:t>
            </w:r>
            <w:r w:rsidRPr="00646C4B">
              <w:rPr>
                <w:rFonts w:cs="Arial"/>
                <w:color w:val="000000"/>
              </w:rPr>
              <w:t>grant goals.</w:t>
            </w:r>
          </w:p>
        </w:tc>
        <w:tc>
          <w:tcPr>
            <w:tcW w:w="2203" w:type="dxa"/>
          </w:tcPr>
          <w:p w14:paraId="355DBCE6" w14:textId="77777777" w:rsidR="007959A2" w:rsidRDefault="007959A2" w:rsidP="00DD3133">
            <w:pPr>
              <w:spacing w:beforeLines="120" w:before="288" w:after="0"/>
              <w:jc w:val="center"/>
              <w:rPr>
                <w:rFonts w:cs="Arial"/>
                <w:szCs w:val="24"/>
              </w:rPr>
            </w:pPr>
            <w:r>
              <w:rPr>
                <w:rFonts w:cs="Arial"/>
                <w:szCs w:val="24"/>
              </w:rPr>
              <w:t>0</w:t>
            </w:r>
          </w:p>
          <w:p w14:paraId="682489FC" w14:textId="77777777" w:rsidR="007959A2" w:rsidRDefault="007959A2" w:rsidP="00DD3133">
            <w:r>
              <w:rPr>
                <w:rFonts w:cs="Arial"/>
                <w:szCs w:val="24"/>
              </w:rPr>
              <w:t>Requirement Not Addressed</w:t>
            </w:r>
          </w:p>
        </w:tc>
        <w:tc>
          <w:tcPr>
            <w:tcW w:w="2204" w:type="dxa"/>
          </w:tcPr>
          <w:p w14:paraId="5CCE7EDB" w14:textId="77777777" w:rsidR="007959A2" w:rsidRDefault="007959A2" w:rsidP="00DD3133">
            <w:pPr>
              <w:spacing w:beforeLines="120" w:before="288" w:after="0"/>
              <w:jc w:val="center"/>
              <w:rPr>
                <w:rFonts w:cs="Arial"/>
                <w:szCs w:val="24"/>
              </w:rPr>
            </w:pPr>
            <w:r>
              <w:rPr>
                <w:rFonts w:cs="Arial"/>
                <w:szCs w:val="24"/>
              </w:rPr>
              <w:t>1</w:t>
            </w:r>
          </w:p>
          <w:p w14:paraId="78E5907D" w14:textId="77777777" w:rsidR="007959A2" w:rsidRDefault="007959A2" w:rsidP="00DD3133">
            <w:r>
              <w:rPr>
                <w:rFonts w:cs="Arial"/>
                <w:szCs w:val="24"/>
              </w:rPr>
              <w:t>Requirement Partially Addressed</w:t>
            </w:r>
          </w:p>
        </w:tc>
        <w:tc>
          <w:tcPr>
            <w:tcW w:w="2204" w:type="dxa"/>
          </w:tcPr>
          <w:p w14:paraId="19E5120F" w14:textId="77777777" w:rsidR="007959A2" w:rsidRDefault="007959A2" w:rsidP="00DD3133">
            <w:pPr>
              <w:spacing w:beforeLines="120" w:before="288" w:after="0"/>
              <w:jc w:val="center"/>
              <w:rPr>
                <w:rFonts w:cs="Arial"/>
                <w:szCs w:val="24"/>
              </w:rPr>
            </w:pPr>
            <w:r>
              <w:rPr>
                <w:rFonts w:cs="Arial"/>
                <w:szCs w:val="24"/>
              </w:rPr>
              <w:t>2</w:t>
            </w:r>
          </w:p>
          <w:p w14:paraId="03F28CAA" w14:textId="77777777" w:rsidR="007959A2" w:rsidRDefault="007959A2" w:rsidP="00DD3133">
            <w:r>
              <w:rPr>
                <w:rFonts w:cs="Arial"/>
                <w:szCs w:val="24"/>
              </w:rPr>
              <w:t>Requirement Met</w:t>
            </w:r>
          </w:p>
        </w:tc>
        <w:tc>
          <w:tcPr>
            <w:tcW w:w="2204" w:type="dxa"/>
          </w:tcPr>
          <w:p w14:paraId="0B0B069D" w14:textId="77777777" w:rsidR="007959A2" w:rsidRDefault="007959A2" w:rsidP="00DD3133">
            <w:pPr>
              <w:spacing w:beforeLines="120" w:before="288" w:after="0"/>
              <w:jc w:val="center"/>
              <w:rPr>
                <w:rFonts w:cs="Arial"/>
                <w:szCs w:val="24"/>
              </w:rPr>
            </w:pPr>
            <w:r>
              <w:rPr>
                <w:rFonts w:cs="Arial"/>
                <w:szCs w:val="24"/>
              </w:rPr>
              <w:t>3</w:t>
            </w:r>
          </w:p>
          <w:p w14:paraId="410978FF" w14:textId="77777777" w:rsidR="007959A2" w:rsidRDefault="007959A2" w:rsidP="00DD3133">
            <w:r>
              <w:rPr>
                <w:rFonts w:cs="Arial"/>
                <w:szCs w:val="24"/>
              </w:rPr>
              <w:t>Requirement Exceeded</w:t>
            </w:r>
          </w:p>
        </w:tc>
      </w:tr>
      <w:tr w:rsidR="007959A2" w14:paraId="34303074" w14:textId="77777777" w:rsidTr="007959A2">
        <w:trPr>
          <w:cantSplit/>
        </w:trPr>
        <w:tc>
          <w:tcPr>
            <w:tcW w:w="4135" w:type="dxa"/>
          </w:tcPr>
          <w:p w14:paraId="25A052AD" w14:textId="77777777" w:rsidR="007959A2" w:rsidRDefault="007959A2" w:rsidP="00DD3133">
            <w:r>
              <w:rPr>
                <w:rFonts w:cs="Arial"/>
                <w:color w:val="000000"/>
              </w:rPr>
              <w:t>Convincingly d</w:t>
            </w:r>
            <w:r w:rsidRPr="00201380">
              <w:rPr>
                <w:rFonts w:cs="Arial"/>
                <w:color w:val="000000"/>
              </w:rPr>
              <w:t>escribe</w:t>
            </w:r>
            <w:r>
              <w:rPr>
                <w:rFonts w:cs="Arial"/>
                <w:color w:val="000000"/>
              </w:rPr>
              <w:t>s</w:t>
            </w:r>
            <w:r w:rsidRPr="00201380">
              <w:rPr>
                <w:rFonts w:cs="Arial"/>
                <w:color w:val="000000"/>
              </w:rPr>
              <w:t xml:space="preserve"> how the proposed activities </w:t>
            </w:r>
            <w:r w:rsidRPr="008E35DB">
              <w:rPr>
                <w:rFonts w:cs="Arial"/>
                <w:color w:val="000000"/>
              </w:rPr>
              <w:t>promote disciplinary literacy and a culture in which all educators are responsible for literacy learning.</w:t>
            </w:r>
          </w:p>
        </w:tc>
        <w:tc>
          <w:tcPr>
            <w:tcW w:w="2203" w:type="dxa"/>
          </w:tcPr>
          <w:p w14:paraId="12908AC5" w14:textId="77777777" w:rsidR="007959A2" w:rsidRDefault="007959A2" w:rsidP="00DD3133">
            <w:pPr>
              <w:spacing w:beforeLines="120" w:before="288" w:after="0"/>
              <w:jc w:val="center"/>
              <w:rPr>
                <w:rFonts w:cs="Arial"/>
                <w:szCs w:val="24"/>
              </w:rPr>
            </w:pPr>
            <w:r>
              <w:rPr>
                <w:rFonts w:cs="Arial"/>
                <w:szCs w:val="24"/>
              </w:rPr>
              <w:t>0</w:t>
            </w:r>
          </w:p>
          <w:p w14:paraId="4E286BD3" w14:textId="77777777" w:rsidR="007959A2" w:rsidRDefault="007959A2" w:rsidP="00DD3133">
            <w:r>
              <w:rPr>
                <w:rFonts w:cs="Arial"/>
                <w:szCs w:val="24"/>
              </w:rPr>
              <w:t>Requirement Not Addressed</w:t>
            </w:r>
          </w:p>
        </w:tc>
        <w:tc>
          <w:tcPr>
            <w:tcW w:w="2204" w:type="dxa"/>
          </w:tcPr>
          <w:p w14:paraId="7FBD69B2" w14:textId="77777777" w:rsidR="007959A2" w:rsidRDefault="007959A2" w:rsidP="00DD3133">
            <w:pPr>
              <w:spacing w:beforeLines="120" w:before="288" w:after="0"/>
              <w:jc w:val="center"/>
              <w:rPr>
                <w:rFonts w:cs="Arial"/>
                <w:szCs w:val="24"/>
              </w:rPr>
            </w:pPr>
            <w:r>
              <w:rPr>
                <w:rFonts w:cs="Arial"/>
                <w:szCs w:val="24"/>
              </w:rPr>
              <w:t>1</w:t>
            </w:r>
          </w:p>
          <w:p w14:paraId="208CCF05" w14:textId="77777777" w:rsidR="007959A2" w:rsidRDefault="007959A2" w:rsidP="00DD3133">
            <w:r>
              <w:rPr>
                <w:rFonts w:cs="Arial"/>
                <w:szCs w:val="24"/>
              </w:rPr>
              <w:t>Requirement Partially Addressed</w:t>
            </w:r>
          </w:p>
        </w:tc>
        <w:tc>
          <w:tcPr>
            <w:tcW w:w="2204" w:type="dxa"/>
          </w:tcPr>
          <w:p w14:paraId="54EEC84F" w14:textId="77777777" w:rsidR="007959A2" w:rsidRDefault="007959A2" w:rsidP="00DD3133">
            <w:pPr>
              <w:spacing w:beforeLines="120" w:before="288" w:after="0"/>
              <w:jc w:val="center"/>
              <w:rPr>
                <w:rFonts w:cs="Arial"/>
                <w:szCs w:val="24"/>
              </w:rPr>
            </w:pPr>
            <w:r>
              <w:rPr>
                <w:rFonts w:cs="Arial"/>
                <w:szCs w:val="24"/>
              </w:rPr>
              <w:t>2</w:t>
            </w:r>
          </w:p>
          <w:p w14:paraId="67876234" w14:textId="77777777" w:rsidR="007959A2" w:rsidRDefault="007959A2" w:rsidP="00DD3133">
            <w:r>
              <w:rPr>
                <w:rFonts w:cs="Arial"/>
                <w:szCs w:val="24"/>
              </w:rPr>
              <w:t>Requirement Met</w:t>
            </w:r>
          </w:p>
        </w:tc>
        <w:tc>
          <w:tcPr>
            <w:tcW w:w="2204" w:type="dxa"/>
          </w:tcPr>
          <w:p w14:paraId="4FCF471F" w14:textId="77777777" w:rsidR="007959A2" w:rsidRDefault="007959A2" w:rsidP="00DD3133">
            <w:pPr>
              <w:spacing w:beforeLines="120" w:before="288" w:after="0"/>
              <w:jc w:val="center"/>
              <w:rPr>
                <w:rFonts w:cs="Arial"/>
                <w:szCs w:val="24"/>
              </w:rPr>
            </w:pPr>
            <w:r>
              <w:rPr>
                <w:rFonts w:cs="Arial"/>
                <w:szCs w:val="24"/>
              </w:rPr>
              <w:t>3</w:t>
            </w:r>
          </w:p>
          <w:p w14:paraId="5DE84F1F" w14:textId="77777777" w:rsidR="007959A2" w:rsidRDefault="007959A2" w:rsidP="00DD3133">
            <w:r>
              <w:rPr>
                <w:rFonts w:cs="Arial"/>
                <w:szCs w:val="24"/>
              </w:rPr>
              <w:t>Requirement Exceeded</w:t>
            </w:r>
          </w:p>
        </w:tc>
      </w:tr>
      <w:tr w:rsidR="007959A2" w14:paraId="1A36CD85" w14:textId="77777777" w:rsidTr="007959A2">
        <w:trPr>
          <w:cantSplit/>
        </w:trPr>
        <w:tc>
          <w:tcPr>
            <w:tcW w:w="4135" w:type="dxa"/>
          </w:tcPr>
          <w:p w14:paraId="37BFA3F7" w14:textId="77777777" w:rsidR="007959A2" w:rsidRDefault="007959A2" w:rsidP="00DD3133">
            <w:r>
              <w:rPr>
                <w:rFonts w:cs="Arial"/>
                <w:color w:val="000000"/>
                <w:szCs w:val="24"/>
              </w:rPr>
              <w:t>Project timeline includes approximate dates</w:t>
            </w:r>
            <w:r w:rsidRPr="00F534AA">
              <w:rPr>
                <w:rFonts w:cs="Arial"/>
                <w:color w:val="000000"/>
                <w:szCs w:val="24"/>
              </w:rPr>
              <w:t xml:space="preserve"> for implementation of</w:t>
            </w:r>
            <w:r>
              <w:rPr>
                <w:rFonts w:cs="Arial"/>
                <w:color w:val="000000"/>
                <w:szCs w:val="24"/>
              </w:rPr>
              <w:t xml:space="preserve"> all major</w:t>
            </w:r>
            <w:r w:rsidRPr="00F534AA">
              <w:rPr>
                <w:rFonts w:cs="Arial"/>
                <w:color w:val="000000"/>
                <w:szCs w:val="24"/>
              </w:rPr>
              <w:t xml:space="preserve"> proposed activities.</w:t>
            </w:r>
          </w:p>
        </w:tc>
        <w:tc>
          <w:tcPr>
            <w:tcW w:w="2203" w:type="dxa"/>
          </w:tcPr>
          <w:p w14:paraId="4E01FBB1" w14:textId="77777777" w:rsidR="007959A2" w:rsidRDefault="007959A2" w:rsidP="00DD3133">
            <w:pPr>
              <w:spacing w:beforeLines="120" w:before="288" w:after="0"/>
              <w:jc w:val="center"/>
              <w:rPr>
                <w:rFonts w:cs="Arial"/>
                <w:szCs w:val="24"/>
              </w:rPr>
            </w:pPr>
            <w:r>
              <w:rPr>
                <w:rFonts w:cs="Arial"/>
                <w:szCs w:val="24"/>
              </w:rPr>
              <w:t>0</w:t>
            </w:r>
          </w:p>
          <w:p w14:paraId="3D21A1A6" w14:textId="77777777" w:rsidR="007959A2" w:rsidRDefault="007959A2" w:rsidP="00DD3133">
            <w:r>
              <w:rPr>
                <w:rFonts w:cs="Arial"/>
                <w:szCs w:val="24"/>
              </w:rPr>
              <w:t>Requirement Not Addressed</w:t>
            </w:r>
          </w:p>
        </w:tc>
        <w:tc>
          <w:tcPr>
            <w:tcW w:w="2204" w:type="dxa"/>
          </w:tcPr>
          <w:p w14:paraId="4E4329CE" w14:textId="77777777" w:rsidR="007959A2" w:rsidRDefault="007959A2" w:rsidP="00DD3133">
            <w:pPr>
              <w:spacing w:beforeLines="120" w:before="288" w:after="0"/>
              <w:jc w:val="center"/>
              <w:rPr>
                <w:rFonts w:cs="Arial"/>
                <w:szCs w:val="24"/>
              </w:rPr>
            </w:pPr>
            <w:r>
              <w:rPr>
                <w:rFonts w:cs="Arial"/>
                <w:szCs w:val="24"/>
              </w:rPr>
              <w:t>1</w:t>
            </w:r>
          </w:p>
          <w:p w14:paraId="01A7AF23" w14:textId="77777777" w:rsidR="007959A2" w:rsidRDefault="007959A2" w:rsidP="00DD3133">
            <w:r>
              <w:rPr>
                <w:rFonts w:cs="Arial"/>
                <w:szCs w:val="24"/>
              </w:rPr>
              <w:t>Requirement Partially Addressed</w:t>
            </w:r>
          </w:p>
        </w:tc>
        <w:tc>
          <w:tcPr>
            <w:tcW w:w="2204" w:type="dxa"/>
          </w:tcPr>
          <w:p w14:paraId="18F68964" w14:textId="77777777" w:rsidR="007959A2" w:rsidRDefault="007959A2" w:rsidP="00DD3133">
            <w:pPr>
              <w:spacing w:beforeLines="120" w:before="288" w:after="0"/>
              <w:jc w:val="center"/>
              <w:rPr>
                <w:rFonts w:cs="Arial"/>
                <w:szCs w:val="24"/>
              </w:rPr>
            </w:pPr>
            <w:r>
              <w:rPr>
                <w:rFonts w:cs="Arial"/>
                <w:szCs w:val="24"/>
              </w:rPr>
              <w:t>2</w:t>
            </w:r>
          </w:p>
          <w:p w14:paraId="4501733B" w14:textId="77777777" w:rsidR="007959A2" w:rsidRDefault="007959A2" w:rsidP="00DD3133">
            <w:r>
              <w:rPr>
                <w:rFonts w:cs="Arial"/>
                <w:szCs w:val="24"/>
              </w:rPr>
              <w:t>Requirement Met</w:t>
            </w:r>
          </w:p>
        </w:tc>
        <w:tc>
          <w:tcPr>
            <w:tcW w:w="2204" w:type="dxa"/>
          </w:tcPr>
          <w:p w14:paraId="63AE82B9" w14:textId="77777777" w:rsidR="007959A2" w:rsidRDefault="007959A2" w:rsidP="00DD3133">
            <w:pPr>
              <w:spacing w:beforeLines="120" w:before="288" w:after="0"/>
              <w:jc w:val="center"/>
              <w:rPr>
                <w:rFonts w:cs="Arial"/>
                <w:szCs w:val="24"/>
              </w:rPr>
            </w:pPr>
            <w:r>
              <w:rPr>
                <w:rFonts w:cs="Arial"/>
                <w:szCs w:val="24"/>
              </w:rPr>
              <w:t>3</w:t>
            </w:r>
          </w:p>
          <w:p w14:paraId="38D9E519" w14:textId="77777777" w:rsidR="007959A2" w:rsidRDefault="007959A2" w:rsidP="00DD3133">
            <w:r>
              <w:rPr>
                <w:rFonts w:cs="Arial"/>
                <w:szCs w:val="24"/>
              </w:rPr>
              <w:t>Requirement Exceeded</w:t>
            </w:r>
          </w:p>
        </w:tc>
      </w:tr>
    </w:tbl>
    <w:p w14:paraId="1A5FBDB5" w14:textId="020AA903" w:rsidR="00C328E8" w:rsidRDefault="001F225A" w:rsidP="007959A2">
      <w:pPr>
        <w:pStyle w:val="Heading5"/>
        <w:ind w:left="0" w:firstLine="0"/>
      </w:pPr>
      <w:r w:rsidRPr="00BF51F5">
        <w:lastRenderedPageBreak/>
        <w:t xml:space="preserve">Part </w:t>
      </w:r>
      <w:r>
        <w:t>3</w:t>
      </w:r>
      <w:r w:rsidRPr="00BF51F5">
        <w:t xml:space="preserve">: </w:t>
      </w:r>
      <w:r>
        <w:t>Alignment</w:t>
      </w:r>
    </w:p>
    <w:tbl>
      <w:tblPr>
        <w:tblStyle w:val="TableGrid"/>
        <w:tblW w:w="0" w:type="auto"/>
        <w:tblLook w:val="04A0" w:firstRow="1" w:lastRow="0" w:firstColumn="1" w:lastColumn="0" w:noHBand="0" w:noVBand="1"/>
        <w:tblDescription w:val="Part 3: Alignment Table"/>
      </w:tblPr>
      <w:tblGrid>
        <w:gridCol w:w="4135"/>
        <w:gridCol w:w="2203"/>
        <w:gridCol w:w="2204"/>
        <w:gridCol w:w="2253"/>
        <w:gridCol w:w="2155"/>
      </w:tblGrid>
      <w:tr w:rsidR="00F67161" w:rsidRPr="00BF51F5" w14:paraId="4C81C7D7" w14:textId="77777777" w:rsidTr="001F225A">
        <w:trPr>
          <w:cantSplit/>
          <w:tblHeader/>
        </w:trPr>
        <w:tc>
          <w:tcPr>
            <w:tcW w:w="4135" w:type="dxa"/>
          </w:tcPr>
          <w:p w14:paraId="1DA0BB9A" w14:textId="1372F59D" w:rsidR="00F67161" w:rsidRPr="00BF51F5" w:rsidRDefault="001F225A" w:rsidP="005D07E0">
            <w:pPr>
              <w:spacing w:before="120" w:after="120"/>
              <w:rPr>
                <w:rFonts w:cs="Arial"/>
                <w:b/>
                <w:szCs w:val="24"/>
              </w:rPr>
            </w:pPr>
            <w:r>
              <w:rPr>
                <w:rFonts w:cs="Arial"/>
                <w:b/>
                <w:szCs w:val="24"/>
              </w:rPr>
              <w:t>Requirement</w:t>
            </w:r>
          </w:p>
        </w:tc>
        <w:tc>
          <w:tcPr>
            <w:tcW w:w="2203" w:type="dxa"/>
          </w:tcPr>
          <w:p w14:paraId="3A49C449" w14:textId="0E3CFD38" w:rsidR="00F67161" w:rsidRPr="00BF51F5" w:rsidRDefault="00F67161" w:rsidP="00F67161">
            <w:pPr>
              <w:spacing w:before="120" w:after="120"/>
              <w:jc w:val="center"/>
              <w:rPr>
                <w:rFonts w:cs="Arial"/>
                <w:b/>
                <w:szCs w:val="24"/>
              </w:rPr>
            </w:pPr>
            <w:r>
              <w:rPr>
                <w:rFonts w:cs="Arial"/>
                <w:szCs w:val="24"/>
              </w:rPr>
              <w:t>Requirement Not Addressed</w:t>
            </w:r>
          </w:p>
        </w:tc>
        <w:tc>
          <w:tcPr>
            <w:tcW w:w="2204" w:type="dxa"/>
          </w:tcPr>
          <w:p w14:paraId="3AFBE6FB" w14:textId="54CB114E" w:rsidR="00F67161" w:rsidRPr="00BF51F5" w:rsidRDefault="00F67161" w:rsidP="00F67161">
            <w:pPr>
              <w:spacing w:before="120" w:after="120"/>
              <w:jc w:val="center"/>
              <w:rPr>
                <w:rFonts w:cs="Arial"/>
                <w:b/>
                <w:szCs w:val="24"/>
              </w:rPr>
            </w:pPr>
            <w:r>
              <w:rPr>
                <w:rFonts w:cs="Arial"/>
                <w:szCs w:val="24"/>
              </w:rPr>
              <w:t>Requirement Partially Addressed</w:t>
            </w:r>
          </w:p>
        </w:tc>
        <w:tc>
          <w:tcPr>
            <w:tcW w:w="2253" w:type="dxa"/>
          </w:tcPr>
          <w:p w14:paraId="6CD90971" w14:textId="0D63AD83" w:rsidR="00F67161" w:rsidRPr="00BF51F5" w:rsidRDefault="00F67161" w:rsidP="00F67161">
            <w:pPr>
              <w:spacing w:before="120" w:after="120"/>
              <w:jc w:val="center"/>
              <w:rPr>
                <w:rFonts w:cs="Arial"/>
                <w:b/>
                <w:szCs w:val="24"/>
              </w:rPr>
            </w:pPr>
            <w:r>
              <w:rPr>
                <w:rFonts w:cs="Arial"/>
                <w:szCs w:val="24"/>
              </w:rPr>
              <w:t>Requirement Met</w:t>
            </w:r>
          </w:p>
        </w:tc>
        <w:tc>
          <w:tcPr>
            <w:tcW w:w="2155" w:type="dxa"/>
          </w:tcPr>
          <w:p w14:paraId="65FD9674" w14:textId="44043BB4" w:rsidR="00F67161" w:rsidRPr="00BF51F5" w:rsidRDefault="00F67161" w:rsidP="00F67161">
            <w:pPr>
              <w:spacing w:before="120" w:after="120"/>
              <w:jc w:val="center"/>
              <w:rPr>
                <w:rFonts w:cs="Arial"/>
                <w:b/>
                <w:szCs w:val="24"/>
              </w:rPr>
            </w:pPr>
            <w:r>
              <w:rPr>
                <w:rFonts w:cs="Arial"/>
                <w:szCs w:val="24"/>
              </w:rPr>
              <w:t>Requirement Exceeded</w:t>
            </w:r>
          </w:p>
        </w:tc>
      </w:tr>
      <w:tr w:rsidR="00F67161" w14:paraId="161DC655" w14:textId="77777777" w:rsidTr="001F225A">
        <w:trPr>
          <w:cantSplit/>
        </w:trPr>
        <w:tc>
          <w:tcPr>
            <w:tcW w:w="4135" w:type="dxa"/>
          </w:tcPr>
          <w:p w14:paraId="29DC6BEF" w14:textId="77777777" w:rsidR="00F67161" w:rsidRPr="003F42A8" w:rsidRDefault="00F67161" w:rsidP="00F67161">
            <w:pPr>
              <w:spacing w:before="240"/>
              <w:rPr>
                <w:rFonts w:ascii="Times New Roman" w:eastAsia="Times New Roman" w:hAnsi="Times New Roman" w:cs="Times New Roman"/>
                <w:szCs w:val="24"/>
              </w:rPr>
            </w:pPr>
            <w:r>
              <w:rPr>
                <w:rFonts w:eastAsia="Times New Roman" w:cs="Arial"/>
                <w:color w:val="000000"/>
                <w:szCs w:val="24"/>
              </w:rPr>
              <w:t>Clearly and convincingly d</w:t>
            </w:r>
            <w:r w:rsidRPr="003F42A8">
              <w:rPr>
                <w:rFonts w:eastAsia="Times New Roman" w:cs="Arial"/>
                <w:color w:val="000000"/>
                <w:szCs w:val="24"/>
              </w:rPr>
              <w:t>escribe</w:t>
            </w:r>
            <w:r>
              <w:rPr>
                <w:rFonts w:eastAsia="Times New Roman" w:cs="Arial"/>
                <w:color w:val="000000"/>
                <w:szCs w:val="24"/>
              </w:rPr>
              <w:t>s</w:t>
            </w:r>
            <w:r w:rsidRPr="003F42A8">
              <w:rPr>
                <w:rFonts w:eastAsia="Times New Roman" w:cs="Arial"/>
                <w:color w:val="000000"/>
                <w:szCs w:val="24"/>
              </w:rPr>
              <w:t xml:space="preserve"> how the proposed activities align with </w:t>
            </w:r>
            <w:r>
              <w:rPr>
                <w:rFonts w:eastAsia="Times New Roman" w:cs="Arial"/>
                <w:color w:val="000000"/>
                <w:szCs w:val="24"/>
              </w:rPr>
              <w:t>the California CCSS for ELA/Literacy, the California ELD standards, and</w:t>
            </w:r>
            <w:r w:rsidRPr="003F42A8">
              <w:rPr>
                <w:rFonts w:eastAsia="Times New Roman" w:cs="Arial"/>
                <w:color w:val="000000"/>
                <w:szCs w:val="24"/>
              </w:rPr>
              <w:t xml:space="preserve"> all five themes of the ELA/ELD Framework, including language development, meaning making, effective expression, content knowledge, and foundational skills.</w:t>
            </w:r>
          </w:p>
        </w:tc>
        <w:tc>
          <w:tcPr>
            <w:tcW w:w="2203" w:type="dxa"/>
          </w:tcPr>
          <w:p w14:paraId="082567B9" w14:textId="77777777" w:rsidR="00F67161" w:rsidRDefault="00F67161" w:rsidP="00F67161">
            <w:pPr>
              <w:spacing w:beforeLines="120" w:before="288" w:after="0"/>
              <w:jc w:val="center"/>
              <w:rPr>
                <w:rFonts w:cs="Arial"/>
                <w:szCs w:val="24"/>
              </w:rPr>
            </w:pPr>
            <w:r>
              <w:rPr>
                <w:rFonts w:cs="Arial"/>
                <w:szCs w:val="24"/>
              </w:rPr>
              <w:t>0</w:t>
            </w:r>
          </w:p>
          <w:p w14:paraId="1E08EB04" w14:textId="77777777" w:rsidR="00F67161" w:rsidRDefault="00F67161" w:rsidP="00F67161">
            <w:pPr>
              <w:spacing w:beforeLines="120" w:before="288" w:after="0"/>
              <w:jc w:val="center"/>
              <w:rPr>
                <w:rFonts w:cs="Arial"/>
                <w:szCs w:val="24"/>
              </w:rPr>
            </w:pPr>
            <w:r>
              <w:rPr>
                <w:rFonts w:cs="Arial"/>
                <w:szCs w:val="24"/>
              </w:rPr>
              <w:t>Requirement Not Addressed</w:t>
            </w:r>
          </w:p>
        </w:tc>
        <w:tc>
          <w:tcPr>
            <w:tcW w:w="2204" w:type="dxa"/>
          </w:tcPr>
          <w:p w14:paraId="572CC4E1" w14:textId="77777777" w:rsidR="00F67161" w:rsidRDefault="00F67161" w:rsidP="00F67161">
            <w:pPr>
              <w:spacing w:beforeLines="120" w:before="288" w:after="0"/>
              <w:jc w:val="center"/>
              <w:rPr>
                <w:rFonts w:cs="Arial"/>
                <w:szCs w:val="24"/>
              </w:rPr>
            </w:pPr>
            <w:r>
              <w:rPr>
                <w:rFonts w:cs="Arial"/>
                <w:szCs w:val="24"/>
              </w:rPr>
              <w:t>1</w:t>
            </w:r>
          </w:p>
          <w:p w14:paraId="6B89D011" w14:textId="77777777" w:rsidR="00F67161" w:rsidRDefault="00F67161" w:rsidP="00F67161">
            <w:pPr>
              <w:spacing w:beforeLines="120" w:before="288" w:after="0"/>
              <w:jc w:val="center"/>
              <w:rPr>
                <w:rFonts w:cs="Arial"/>
                <w:szCs w:val="24"/>
              </w:rPr>
            </w:pPr>
            <w:r>
              <w:rPr>
                <w:rFonts w:cs="Arial"/>
                <w:szCs w:val="24"/>
              </w:rPr>
              <w:t>Requirement Partially Addressed</w:t>
            </w:r>
          </w:p>
        </w:tc>
        <w:tc>
          <w:tcPr>
            <w:tcW w:w="2253" w:type="dxa"/>
          </w:tcPr>
          <w:p w14:paraId="20FFFE56" w14:textId="77777777" w:rsidR="00F67161" w:rsidRDefault="00F67161" w:rsidP="00F67161">
            <w:pPr>
              <w:spacing w:beforeLines="120" w:before="288" w:after="0"/>
              <w:jc w:val="center"/>
              <w:rPr>
                <w:rFonts w:cs="Arial"/>
                <w:szCs w:val="24"/>
              </w:rPr>
            </w:pPr>
            <w:r>
              <w:rPr>
                <w:rFonts w:cs="Arial"/>
                <w:szCs w:val="24"/>
              </w:rPr>
              <w:t>2</w:t>
            </w:r>
          </w:p>
          <w:p w14:paraId="17CCDAEC" w14:textId="77777777" w:rsidR="00F67161" w:rsidRDefault="00F67161" w:rsidP="00F67161">
            <w:pPr>
              <w:spacing w:beforeLines="120" w:before="288" w:after="0"/>
              <w:jc w:val="center"/>
              <w:rPr>
                <w:rFonts w:cs="Arial"/>
                <w:szCs w:val="24"/>
              </w:rPr>
            </w:pPr>
            <w:r>
              <w:rPr>
                <w:rFonts w:cs="Arial"/>
                <w:szCs w:val="24"/>
              </w:rPr>
              <w:t>Requirement Met</w:t>
            </w:r>
          </w:p>
        </w:tc>
        <w:tc>
          <w:tcPr>
            <w:tcW w:w="2155" w:type="dxa"/>
          </w:tcPr>
          <w:p w14:paraId="28F7539F" w14:textId="77777777" w:rsidR="00F67161" w:rsidRDefault="00F67161" w:rsidP="00F67161">
            <w:pPr>
              <w:spacing w:beforeLines="120" w:before="288" w:after="0"/>
              <w:jc w:val="center"/>
              <w:rPr>
                <w:rFonts w:cs="Arial"/>
                <w:szCs w:val="24"/>
              </w:rPr>
            </w:pPr>
            <w:r>
              <w:rPr>
                <w:rFonts w:cs="Arial"/>
                <w:szCs w:val="24"/>
              </w:rPr>
              <w:t>3</w:t>
            </w:r>
          </w:p>
          <w:p w14:paraId="334FC3F8" w14:textId="77777777" w:rsidR="00F67161" w:rsidRDefault="00F67161" w:rsidP="00F67161">
            <w:pPr>
              <w:spacing w:beforeLines="120" w:before="288" w:after="0"/>
              <w:jc w:val="center"/>
              <w:rPr>
                <w:rFonts w:cs="Arial"/>
                <w:szCs w:val="24"/>
              </w:rPr>
            </w:pPr>
            <w:r>
              <w:rPr>
                <w:rFonts w:cs="Arial"/>
                <w:szCs w:val="24"/>
              </w:rPr>
              <w:t>Requirement Exceeded</w:t>
            </w:r>
          </w:p>
        </w:tc>
      </w:tr>
      <w:tr w:rsidR="00F67161" w14:paraId="2755AD2A" w14:textId="77777777" w:rsidTr="001F225A">
        <w:trPr>
          <w:cantSplit/>
        </w:trPr>
        <w:tc>
          <w:tcPr>
            <w:tcW w:w="4135" w:type="dxa"/>
          </w:tcPr>
          <w:p w14:paraId="0F4E5810" w14:textId="77777777" w:rsidR="00F67161" w:rsidRPr="003F42A8" w:rsidRDefault="00F67161" w:rsidP="00F67161">
            <w:pPr>
              <w:spacing w:beforeLines="120" w:before="288" w:afterLines="120" w:after="288"/>
              <w:rPr>
                <w:rFonts w:ascii="Times New Roman" w:eastAsia="Times New Roman" w:hAnsi="Times New Roman" w:cs="Times New Roman"/>
                <w:szCs w:val="24"/>
              </w:rPr>
            </w:pPr>
            <w:r>
              <w:rPr>
                <w:rFonts w:eastAsia="Times New Roman" w:cs="Arial"/>
                <w:color w:val="000000"/>
                <w:szCs w:val="24"/>
              </w:rPr>
              <w:t>Clearly and convincingly d</w:t>
            </w:r>
            <w:r w:rsidRPr="003F42A8">
              <w:rPr>
                <w:rFonts w:eastAsia="Times New Roman" w:cs="Arial"/>
                <w:color w:val="000000"/>
                <w:szCs w:val="24"/>
              </w:rPr>
              <w:t>escribe</w:t>
            </w:r>
            <w:r>
              <w:rPr>
                <w:rFonts w:eastAsia="Times New Roman" w:cs="Arial"/>
                <w:color w:val="000000"/>
                <w:szCs w:val="24"/>
              </w:rPr>
              <w:t>s</w:t>
            </w:r>
            <w:r w:rsidRPr="003F42A8">
              <w:rPr>
                <w:rFonts w:eastAsia="Times New Roman" w:cs="Arial"/>
                <w:color w:val="000000"/>
                <w:szCs w:val="24"/>
              </w:rPr>
              <w:t xml:space="preserve"> how the proposed activities align to the Comprehensive SLP, specifically focusing on the Integrated Literacy Model, which includes MTSS best first instruction, culturally sustaining pedagogies, SEL, and family engagement.</w:t>
            </w:r>
          </w:p>
        </w:tc>
        <w:tc>
          <w:tcPr>
            <w:tcW w:w="2203" w:type="dxa"/>
          </w:tcPr>
          <w:p w14:paraId="4B952598" w14:textId="77777777" w:rsidR="00F67161" w:rsidRDefault="00F67161" w:rsidP="00F67161">
            <w:pPr>
              <w:spacing w:beforeLines="120" w:before="288" w:after="0"/>
              <w:jc w:val="center"/>
              <w:rPr>
                <w:rFonts w:cs="Arial"/>
                <w:szCs w:val="24"/>
              </w:rPr>
            </w:pPr>
            <w:r>
              <w:rPr>
                <w:rFonts w:cs="Arial"/>
                <w:szCs w:val="24"/>
              </w:rPr>
              <w:t>0</w:t>
            </w:r>
          </w:p>
          <w:p w14:paraId="33D01282" w14:textId="77777777" w:rsidR="00F67161" w:rsidRDefault="00F67161" w:rsidP="00F67161">
            <w:pPr>
              <w:spacing w:beforeLines="120" w:before="288" w:after="0"/>
              <w:jc w:val="center"/>
              <w:rPr>
                <w:rFonts w:cs="Arial"/>
                <w:szCs w:val="24"/>
              </w:rPr>
            </w:pPr>
            <w:r>
              <w:rPr>
                <w:rFonts w:cs="Arial"/>
                <w:szCs w:val="24"/>
              </w:rPr>
              <w:t>Requirement Not Addressed</w:t>
            </w:r>
          </w:p>
        </w:tc>
        <w:tc>
          <w:tcPr>
            <w:tcW w:w="2204" w:type="dxa"/>
          </w:tcPr>
          <w:p w14:paraId="5062DA58" w14:textId="77777777" w:rsidR="00F67161" w:rsidRDefault="00F67161" w:rsidP="00F67161">
            <w:pPr>
              <w:spacing w:beforeLines="120" w:before="288" w:after="0"/>
              <w:jc w:val="center"/>
              <w:rPr>
                <w:rFonts w:cs="Arial"/>
                <w:szCs w:val="24"/>
              </w:rPr>
            </w:pPr>
            <w:r>
              <w:rPr>
                <w:rFonts w:cs="Arial"/>
                <w:szCs w:val="24"/>
              </w:rPr>
              <w:t>1</w:t>
            </w:r>
          </w:p>
          <w:p w14:paraId="7B5F48FE" w14:textId="77777777" w:rsidR="00F67161" w:rsidRDefault="00F67161" w:rsidP="00F67161">
            <w:pPr>
              <w:spacing w:beforeLines="120" w:before="288" w:after="0"/>
              <w:jc w:val="center"/>
              <w:rPr>
                <w:rFonts w:cs="Arial"/>
                <w:szCs w:val="24"/>
              </w:rPr>
            </w:pPr>
            <w:r>
              <w:rPr>
                <w:rFonts w:cs="Arial"/>
                <w:szCs w:val="24"/>
              </w:rPr>
              <w:t xml:space="preserve">Requirement </w:t>
            </w:r>
          </w:p>
          <w:p w14:paraId="11802F1D" w14:textId="77777777" w:rsidR="00F67161" w:rsidRDefault="00F67161" w:rsidP="00F67161">
            <w:pPr>
              <w:spacing w:beforeLines="120" w:before="288" w:after="0"/>
              <w:jc w:val="center"/>
              <w:rPr>
                <w:rFonts w:cs="Arial"/>
                <w:szCs w:val="24"/>
              </w:rPr>
            </w:pPr>
            <w:r>
              <w:rPr>
                <w:rFonts w:cs="Arial"/>
                <w:szCs w:val="24"/>
              </w:rPr>
              <w:t>Partially Addressed</w:t>
            </w:r>
          </w:p>
        </w:tc>
        <w:tc>
          <w:tcPr>
            <w:tcW w:w="2253" w:type="dxa"/>
          </w:tcPr>
          <w:p w14:paraId="7D9C224E" w14:textId="77777777" w:rsidR="00F67161" w:rsidRDefault="00F67161" w:rsidP="00F67161">
            <w:pPr>
              <w:spacing w:beforeLines="120" w:before="288" w:after="0"/>
              <w:jc w:val="center"/>
              <w:rPr>
                <w:rFonts w:cs="Arial"/>
                <w:szCs w:val="24"/>
              </w:rPr>
            </w:pPr>
            <w:r>
              <w:rPr>
                <w:rFonts w:cs="Arial"/>
                <w:szCs w:val="24"/>
              </w:rPr>
              <w:t>2</w:t>
            </w:r>
          </w:p>
          <w:p w14:paraId="69DD0212" w14:textId="77777777" w:rsidR="00F67161" w:rsidRDefault="00F67161" w:rsidP="00F67161">
            <w:pPr>
              <w:spacing w:beforeLines="120" w:before="288" w:after="0"/>
              <w:jc w:val="center"/>
              <w:rPr>
                <w:rFonts w:cs="Arial"/>
                <w:szCs w:val="24"/>
              </w:rPr>
            </w:pPr>
            <w:r>
              <w:rPr>
                <w:rFonts w:cs="Arial"/>
                <w:szCs w:val="24"/>
              </w:rPr>
              <w:t>Requirement Met</w:t>
            </w:r>
          </w:p>
        </w:tc>
        <w:tc>
          <w:tcPr>
            <w:tcW w:w="2155" w:type="dxa"/>
          </w:tcPr>
          <w:p w14:paraId="5EA55091" w14:textId="77777777" w:rsidR="00F67161" w:rsidRDefault="00F67161" w:rsidP="00F67161">
            <w:pPr>
              <w:spacing w:beforeLines="120" w:before="288" w:after="0"/>
              <w:jc w:val="center"/>
              <w:rPr>
                <w:rFonts w:cs="Arial"/>
                <w:szCs w:val="24"/>
              </w:rPr>
            </w:pPr>
            <w:r>
              <w:rPr>
                <w:rFonts w:cs="Arial"/>
                <w:szCs w:val="24"/>
              </w:rPr>
              <w:t>3</w:t>
            </w:r>
          </w:p>
          <w:p w14:paraId="0710B753" w14:textId="77777777" w:rsidR="00F67161" w:rsidRDefault="00F67161" w:rsidP="00F67161">
            <w:pPr>
              <w:spacing w:beforeLines="120" w:before="288" w:after="0"/>
              <w:jc w:val="center"/>
              <w:rPr>
                <w:rFonts w:cs="Arial"/>
                <w:szCs w:val="24"/>
              </w:rPr>
            </w:pPr>
            <w:r>
              <w:rPr>
                <w:rFonts w:cs="Arial"/>
                <w:szCs w:val="24"/>
              </w:rPr>
              <w:t>Requirement Exceeded</w:t>
            </w:r>
          </w:p>
        </w:tc>
      </w:tr>
      <w:tr w:rsidR="00F67161" w14:paraId="1FCDBAF9" w14:textId="77777777" w:rsidTr="001F225A">
        <w:trPr>
          <w:cantSplit/>
        </w:trPr>
        <w:tc>
          <w:tcPr>
            <w:tcW w:w="4135" w:type="dxa"/>
          </w:tcPr>
          <w:p w14:paraId="1CE0FF13" w14:textId="77777777" w:rsidR="00F67161" w:rsidRPr="0084139F" w:rsidRDefault="00F67161" w:rsidP="00F67161">
            <w:pPr>
              <w:spacing w:beforeLines="120" w:before="288" w:afterLines="120" w:after="288"/>
              <w:rPr>
                <w:rFonts w:ascii="Times New Roman" w:eastAsia="Times New Roman" w:hAnsi="Times New Roman" w:cs="Times New Roman"/>
                <w:szCs w:val="24"/>
              </w:rPr>
            </w:pPr>
            <w:r>
              <w:rPr>
                <w:rFonts w:eastAsia="Times New Roman" w:cs="Arial"/>
                <w:color w:val="000000"/>
                <w:szCs w:val="24"/>
              </w:rPr>
              <w:lastRenderedPageBreak/>
              <w:t>Clearly and convincingly d</w:t>
            </w:r>
            <w:r w:rsidRPr="00F534AA">
              <w:rPr>
                <w:rFonts w:eastAsia="Times New Roman" w:cs="Arial"/>
                <w:color w:val="000000"/>
                <w:szCs w:val="24"/>
              </w:rPr>
              <w:t>escribe</w:t>
            </w:r>
            <w:r>
              <w:rPr>
                <w:rFonts w:eastAsia="Times New Roman" w:cs="Arial"/>
                <w:color w:val="000000"/>
                <w:szCs w:val="24"/>
              </w:rPr>
              <w:t>s</w:t>
            </w:r>
            <w:r w:rsidRPr="00F534AA">
              <w:rPr>
                <w:rFonts w:eastAsia="Times New Roman" w:cs="Arial"/>
                <w:color w:val="000000"/>
                <w:szCs w:val="24"/>
              </w:rPr>
              <w:t xml:space="preserve"> how the proposed activities align with other guidance documents referenced in the SLP, including but</w:t>
            </w:r>
            <w:r>
              <w:rPr>
                <w:rFonts w:eastAsia="Times New Roman" w:cs="Arial"/>
                <w:color w:val="000000"/>
                <w:szCs w:val="24"/>
              </w:rPr>
              <w:t xml:space="preserve"> not</w:t>
            </w:r>
            <w:r w:rsidRPr="00F534AA">
              <w:rPr>
                <w:rFonts w:eastAsia="Times New Roman" w:cs="Arial"/>
                <w:color w:val="000000"/>
                <w:szCs w:val="24"/>
              </w:rPr>
              <w:t xml:space="preserve"> limited to Improving Education for EL Students, </w:t>
            </w:r>
            <w:r>
              <w:rPr>
                <w:rFonts w:eastAsia="Times New Roman" w:cs="Arial"/>
                <w:color w:val="000000"/>
                <w:szCs w:val="24"/>
              </w:rPr>
              <w:t xml:space="preserve">the </w:t>
            </w:r>
            <w:r w:rsidRPr="00F534AA">
              <w:rPr>
                <w:rFonts w:eastAsia="Times New Roman" w:cs="Arial"/>
                <w:color w:val="000000"/>
                <w:szCs w:val="24"/>
              </w:rPr>
              <w:t>C</w:t>
            </w:r>
            <w:r>
              <w:rPr>
                <w:rFonts w:eastAsia="Times New Roman" w:cs="Arial"/>
                <w:color w:val="000000"/>
                <w:szCs w:val="24"/>
              </w:rPr>
              <w:t>alifornia</w:t>
            </w:r>
            <w:r w:rsidRPr="00F534AA">
              <w:rPr>
                <w:rFonts w:eastAsia="Times New Roman" w:cs="Arial"/>
                <w:color w:val="000000"/>
                <w:szCs w:val="24"/>
              </w:rPr>
              <w:t xml:space="preserve"> Dyslexia Guidelines, </w:t>
            </w:r>
            <w:r>
              <w:rPr>
                <w:rFonts w:eastAsia="Times New Roman" w:cs="Arial"/>
                <w:color w:val="000000"/>
                <w:szCs w:val="24"/>
              </w:rPr>
              <w:t xml:space="preserve">and the </w:t>
            </w:r>
            <w:r w:rsidRPr="00F534AA">
              <w:rPr>
                <w:rFonts w:eastAsia="Times New Roman" w:cs="Arial"/>
                <w:color w:val="000000"/>
                <w:szCs w:val="24"/>
              </w:rPr>
              <w:t>Guide for Educating EL Students with Dyslexia.</w:t>
            </w:r>
          </w:p>
        </w:tc>
        <w:tc>
          <w:tcPr>
            <w:tcW w:w="2203" w:type="dxa"/>
          </w:tcPr>
          <w:p w14:paraId="7EA63512" w14:textId="77777777" w:rsidR="00F67161" w:rsidRDefault="00F67161" w:rsidP="00F67161">
            <w:pPr>
              <w:spacing w:beforeLines="120" w:before="288" w:after="0"/>
              <w:jc w:val="center"/>
              <w:rPr>
                <w:rFonts w:cs="Arial"/>
                <w:szCs w:val="24"/>
              </w:rPr>
            </w:pPr>
            <w:r>
              <w:rPr>
                <w:rFonts w:cs="Arial"/>
                <w:szCs w:val="24"/>
              </w:rPr>
              <w:t>0</w:t>
            </w:r>
          </w:p>
          <w:p w14:paraId="494EE415" w14:textId="77777777" w:rsidR="00F67161" w:rsidRDefault="00F67161" w:rsidP="00F67161">
            <w:pPr>
              <w:spacing w:beforeLines="120" w:before="288" w:after="0"/>
              <w:jc w:val="center"/>
              <w:rPr>
                <w:rFonts w:cs="Arial"/>
                <w:szCs w:val="24"/>
              </w:rPr>
            </w:pPr>
            <w:r>
              <w:rPr>
                <w:rFonts w:cs="Arial"/>
                <w:szCs w:val="24"/>
              </w:rPr>
              <w:t>Requirement Not Addressed</w:t>
            </w:r>
          </w:p>
        </w:tc>
        <w:tc>
          <w:tcPr>
            <w:tcW w:w="2204" w:type="dxa"/>
          </w:tcPr>
          <w:p w14:paraId="7290CCDF" w14:textId="77777777" w:rsidR="00F67161" w:rsidRDefault="00F67161" w:rsidP="00F67161">
            <w:pPr>
              <w:spacing w:beforeLines="120" w:before="288" w:after="0"/>
              <w:jc w:val="center"/>
              <w:rPr>
                <w:rFonts w:cs="Arial"/>
                <w:szCs w:val="24"/>
              </w:rPr>
            </w:pPr>
            <w:r>
              <w:rPr>
                <w:rFonts w:cs="Arial"/>
                <w:szCs w:val="24"/>
              </w:rPr>
              <w:t>1</w:t>
            </w:r>
          </w:p>
          <w:p w14:paraId="38107FA6" w14:textId="77777777" w:rsidR="00F67161" w:rsidRDefault="00F67161" w:rsidP="00F67161">
            <w:pPr>
              <w:spacing w:beforeLines="120" w:before="288" w:after="0"/>
              <w:jc w:val="center"/>
              <w:rPr>
                <w:rFonts w:cs="Arial"/>
                <w:szCs w:val="24"/>
              </w:rPr>
            </w:pPr>
            <w:r>
              <w:rPr>
                <w:rFonts w:cs="Arial"/>
                <w:szCs w:val="24"/>
              </w:rPr>
              <w:t>Requirement Partially Addressed</w:t>
            </w:r>
          </w:p>
        </w:tc>
        <w:tc>
          <w:tcPr>
            <w:tcW w:w="2253" w:type="dxa"/>
          </w:tcPr>
          <w:p w14:paraId="6BFDC7DD" w14:textId="77777777" w:rsidR="00F67161" w:rsidRDefault="00F67161" w:rsidP="00F67161">
            <w:pPr>
              <w:spacing w:beforeLines="120" w:before="288" w:after="0"/>
              <w:jc w:val="center"/>
              <w:rPr>
                <w:rFonts w:cs="Arial"/>
                <w:szCs w:val="24"/>
              </w:rPr>
            </w:pPr>
            <w:r>
              <w:rPr>
                <w:rFonts w:cs="Arial"/>
                <w:szCs w:val="24"/>
              </w:rPr>
              <w:t>2</w:t>
            </w:r>
          </w:p>
          <w:p w14:paraId="01E94AD9" w14:textId="77777777" w:rsidR="00F67161" w:rsidRDefault="00F67161" w:rsidP="00F67161">
            <w:pPr>
              <w:spacing w:beforeLines="120" w:before="288" w:after="0"/>
              <w:jc w:val="center"/>
              <w:rPr>
                <w:rFonts w:cs="Arial"/>
                <w:szCs w:val="24"/>
              </w:rPr>
            </w:pPr>
            <w:r>
              <w:rPr>
                <w:rFonts w:cs="Arial"/>
                <w:szCs w:val="24"/>
              </w:rPr>
              <w:t>Requirement Met</w:t>
            </w:r>
          </w:p>
        </w:tc>
        <w:tc>
          <w:tcPr>
            <w:tcW w:w="2155" w:type="dxa"/>
          </w:tcPr>
          <w:p w14:paraId="6DE90720" w14:textId="77777777" w:rsidR="00F67161" w:rsidRDefault="00F67161" w:rsidP="00F67161">
            <w:pPr>
              <w:spacing w:beforeLines="120" w:before="288" w:after="0"/>
              <w:jc w:val="center"/>
              <w:rPr>
                <w:rFonts w:cs="Arial"/>
                <w:szCs w:val="24"/>
              </w:rPr>
            </w:pPr>
            <w:r>
              <w:rPr>
                <w:rFonts w:cs="Arial"/>
                <w:szCs w:val="24"/>
              </w:rPr>
              <w:t>3</w:t>
            </w:r>
          </w:p>
          <w:p w14:paraId="1FC33B7C" w14:textId="77777777" w:rsidR="00F67161" w:rsidRDefault="00F67161" w:rsidP="00F67161">
            <w:pPr>
              <w:spacing w:beforeLines="120" w:before="288" w:after="0"/>
              <w:jc w:val="center"/>
              <w:rPr>
                <w:rFonts w:cs="Arial"/>
                <w:szCs w:val="24"/>
              </w:rPr>
            </w:pPr>
            <w:r>
              <w:rPr>
                <w:rFonts w:cs="Arial"/>
                <w:szCs w:val="24"/>
              </w:rPr>
              <w:t>Requirement Exceeded</w:t>
            </w:r>
          </w:p>
        </w:tc>
      </w:tr>
      <w:tr w:rsidR="00F67161" w14:paraId="7A01C114" w14:textId="77777777" w:rsidTr="001F225A">
        <w:trPr>
          <w:cantSplit/>
        </w:trPr>
        <w:tc>
          <w:tcPr>
            <w:tcW w:w="4135" w:type="dxa"/>
          </w:tcPr>
          <w:p w14:paraId="328A9B67" w14:textId="77777777" w:rsidR="00F67161" w:rsidRPr="003F42A8" w:rsidRDefault="00F67161" w:rsidP="00F67161">
            <w:pPr>
              <w:spacing w:beforeLines="120" w:before="288" w:afterLines="120" w:after="288"/>
              <w:rPr>
                <w:szCs w:val="24"/>
              </w:rPr>
            </w:pPr>
            <w:r w:rsidRPr="009F2D81">
              <w:rPr>
                <w:szCs w:val="24"/>
              </w:rPr>
              <w:t>Clearly and convincingly describes how this project will align with the other state literacy initiatives described in Section 1, Part C.</w:t>
            </w:r>
            <w:r w:rsidRPr="003F42A8">
              <w:rPr>
                <w:szCs w:val="24"/>
              </w:rPr>
              <w:t xml:space="preserve"> </w:t>
            </w:r>
          </w:p>
        </w:tc>
        <w:tc>
          <w:tcPr>
            <w:tcW w:w="2203" w:type="dxa"/>
          </w:tcPr>
          <w:p w14:paraId="0A789A0F" w14:textId="77777777" w:rsidR="00F67161" w:rsidRDefault="00F67161" w:rsidP="00F67161">
            <w:pPr>
              <w:spacing w:beforeLines="120" w:before="288" w:after="0"/>
              <w:jc w:val="center"/>
              <w:rPr>
                <w:rFonts w:cs="Arial"/>
                <w:szCs w:val="24"/>
              </w:rPr>
            </w:pPr>
            <w:r>
              <w:rPr>
                <w:rFonts w:cs="Arial"/>
                <w:szCs w:val="24"/>
              </w:rPr>
              <w:t>0</w:t>
            </w:r>
          </w:p>
          <w:p w14:paraId="4FBAEA8B" w14:textId="77777777" w:rsidR="00F67161" w:rsidRDefault="00F67161" w:rsidP="00F67161">
            <w:pPr>
              <w:spacing w:beforeLines="120" w:before="288" w:after="0"/>
              <w:jc w:val="center"/>
              <w:rPr>
                <w:rFonts w:cs="Arial"/>
                <w:szCs w:val="24"/>
              </w:rPr>
            </w:pPr>
            <w:r>
              <w:rPr>
                <w:rFonts w:cs="Arial"/>
                <w:szCs w:val="24"/>
              </w:rPr>
              <w:t>Requirement Not Addressed</w:t>
            </w:r>
          </w:p>
        </w:tc>
        <w:tc>
          <w:tcPr>
            <w:tcW w:w="2204" w:type="dxa"/>
          </w:tcPr>
          <w:p w14:paraId="50C4C012" w14:textId="77777777" w:rsidR="00F67161" w:rsidRDefault="00F67161" w:rsidP="00F67161">
            <w:pPr>
              <w:spacing w:beforeLines="120" w:before="288" w:after="0"/>
              <w:jc w:val="center"/>
              <w:rPr>
                <w:rFonts w:cs="Arial"/>
                <w:szCs w:val="24"/>
              </w:rPr>
            </w:pPr>
            <w:r>
              <w:rPr>
                <w:rFonts w:cs="Arial"/>
                <w:szCs w:val="24"/>
              </w:rPr>
              <w:t>1</w:t>
            </w:r>
          </w:p>
          <w:p w14:paraId="270949C2" w14:textId="77777777" w:rsidR="00F67161" w:rsidRDefault="00F67161" w:rsidP="00F67161">
            <w:pPr>
              <w:spacing w:beforeLines="120" w:before="288" w:after="0"/>
              <w:jc w:val="center"/>
              <w:rPr>
                <w:rFonts w:cs="Arial"/>
                <w:szCs w:val="24"/>
              </w:rPr>
            </w:pPr>
            <w:r>
              <w:rPr>
                <w:rFonts w:cs="Arial"/>
                <w:szCs w:val="24"/>
              </w:rPr>
              <w:t>Requirement Partially Addressed</w:t>
            </w:r>
          </w:p>
        </w:tc>
        <w:tc>
          <w:tcPr>
            <w:tcW w:w="2253" w:type="dxa"/>
          </w:tcPr>
          <w:p w14:paraId="2A5F5B70" w14:textId="77777777" w:rsidR="00F67161" w:rsidRDefault="00F67161" w:rsidP="00F67161">
            <w:pPr>
              <w:spacing w:beforeLines="120" w:before="288" w:after="0"/>
              <w:jc w:val="center"/>
              <w:rPr>
                <w:rFonts w:cs="Arial"/>
                <w:szCs w:val="24"/>
              </w:rPr>
            </w:pPr>
            <w:r>
              <w:rPr>
                <w:rFonts w:cs="Arial"/>
                <w:szCs w:val="24"/>
              </w:rPr>
              <w:t>2</w:t>
            </w:r>
          </w:p>
          <w:p w14:paraId="2743A7DD" w14:textId="77777777" w:rsidR="00F67161" w:rsidRDefault="00F67161" w:rsidP="00F67161">
            <w:pPr>
              <w:spacing w:beforeLines="120" w:before="288" w:after="0"/>
              <w:jc w:val="center"/>
              <w:rPr>
                <w:rFonts w:cs="Arial"/>
                <w:szCs w:val="24"/>
              </w:rPr>
            </w:pPr>
            <w:r>
              <w:rPr>
                <w:rFonts w:cs="Arial"/>
                <w:szCs w:val="24"/>
              </w:rPr>
              <w:t>Requirement Met</w:t>
            </w:r>
          </w:p>
        </w:tc>
        <w:tc>
          <w:tcPr>
            <w:tcW w:w="2155" w:type="dxa"/>
          </w:tcPr>
          <w:p w14:paraId="698B8A65" w14:textId="77777777" w:rsidR="00F67161" w:rsidRDefault="00F67161" w:rsidP="00F67161">
            <w:pPr>
              <w:spacing w:beforeLines="120" w:before="288" w:after="0"/>
              <w:jc w:val="center"/>
              <w:rPr>
                <w:rFonts w:cs="Arial"/>
                <w:szCs w:val="24"/>
              </w:rPr>
            </w:pPr>
            <w:r>
              <w:rPr>
                <w:rFonts w:cs="Arial"/>
                <w:szCs w:val="24"/>
              </w:rPr>
              <w:t>3</w:t>
            </w:r>
          </w:p>
          <w:p w14:paraId="29493EFA" w14:textId="77777777" w:rsidR="00F67161" w:rsidRDefault="00F67161" w:rsidP="00F67161">
            <w:pPr>
              <w:spacing w:beforeLines="120" w:before="288" w:after="0"/>
              <w:jc w:val="center"/>
              <w:rPr>
                <w:rFonts w:cs="Arial"/>
                <w:szCs w:val="24"/>
              </w:rPr>
            </w:pPr>
            <w:r>
              <w:rPr>
                <w:rFonts w:cs="Arial"/>
                <w:szCs w:val="24"/>
              </w:rPr>
              <w:t>Requirement Exceeded</w:t>
            </w:r>
          </w:p>
        </w:tc>
      </w:tr>
    </w:tbl>
    <w:p w14:paraId="5D27D597" w14:textId="0270282F" w:rsidR="001F225A" w:rsidRDefault="001F225A" w:rsidP="007959A2">
      <w:pPr>
        <w:pStyle w:val="Heading5"/>
        <w:rPr>
          <w:rFonts w:cs="Arial"/>
        </w:rPr>
      </w:pPr>
      <w:r>
        <w:lastRenderedPageBreak/>
        <w:t>Part 4</w:t>
      </w:r>
      <w:r w:rsidR="00A623B7">
        <w:t xml:space="preserve">: </w:t>
      </w:r>
      <w:r w:rsidRPr="00F534AA">
        <w:t>Expanding Capacity</w:t>
      </w:r>
    </w:p>
    <w:tbl>
      <w:tblPr>
        <w:tblStyle w:val="TableGrid"/>
        <w:tblW w:w="0" w:type="auto"/>
        <w:tblLook w:val="04A0" w:firstRow="1" w:lastRow="0" w:firstColumn="1" w:lastColumn="0" w:noHBand="0" w:noVBand="1"/>
        <w:tblDescription w:val="Part 4: Expanding Capacity Table"/>
      </w:tblPr>
      <w:tblGrid>
        <w:gridCol w:w="4135"/>
        <w:gridCol w:w="2203"/>
        <w:gridCol w:w="2204"/>
        <w:gridCol w:w="2204"/>
        <w:gridCol w:w="2204"/>
      </w:tblGrid>
      <w:tr w:rsidR="00F67161" w:rsidRPr="00BF51F5" w14:paraId="4B60FA3F" w14:textId="77777777" w:rsidTr="007959A2">
        <w:trPr>
          <w:cantSplit/>
          <w:tblHeader/>
        </w:trPr>
        <w:tc>
          <w:tcPr>
            <w:tcW w:w="4135" w:type="dxa"/>
          </w:tcPr>
          <w:p w14:paraId="510CE68E" w14:textId="7D474F65" w:rsidR="00F67161" w:rsidRPr="00BF51F5" w:rsidRDefault="001F225A" w:rsidP="00F67161">
            <w:pPr>
              <w:spacing w:before="120" w:after="120"/>
              <w:rPr>
                <w:rFonts w:cs="Arial"/>
                <w:b/>
                <w:szCs w:val="24"/>
              </w:rPr>
            </w:pPr>
            <w:r>
              <w:rPr>
                <w:rFonts w:cs="Arial"/>
                <w:b/>
                <w:szCs w:val="24"/>
              </w:rPr>
              <w:t>Requirement</w:t>
            </w:r>
          </w:p>
        </w:tc>
        <w:tc>
          <w:tcPr>
            <w:tcW w:w="2203" w:type="dxa"/>
          </w:tcPr>
          <w:p w14:paraId="76F5AC0D" w14:textId="300DAB4D" w:rsidR="00F67161" w:rsidRPr="00BF51F5" w:rsidRDefault="00F67161" w:rsidP="00F67161">
            <w:pPr>
              <w:spacing w:before="120" w:after="120"/>
              <w:jc w:val="center"/>
              <w:rPr>
                <w:rFonts w:cs="Arial"/>
                <w:b/>
                <w:szCs w:val="24"/>
              </w:rPr>
            </w:pPr>
            <w:r>
              <w:rPr>
                <w:rFonts w:cs="Arial"/>
                <w:szCs w:val="24"/>
              </w:rPr>
              <w:t>Requirement Not Addressed</w:t>
            </w:r>
          </w:p>
        </w:tc>
        <w:tc>
          <w:tcPr>
            <w:tcW w:w="2204" w:type="dxa"/>
          </w:tcPr>
          <w:p w14:paraId="49D66017" w14:textId="17717FD1" w:rsidR="00F67161" w:rsidRPr="00BF51F5" w:rsidRDefault="00F67161" w:rsidP="00F67161">
            <w:pPr>
              <w:spacing w:before="120" w:after="120"/>
              <w:jc w:val="center"/>
              <w:rPr>
                <w:rFonts w:cs="Arial"/>
                <w:b/>
                <w:szCs w:val="24"/>
              </w:rPr>
            </w:pPr>
            <w:r>
              <w:rPr>
                <w:rFonts w:cs="Arial"/>
                <w:szCs w:val="24"/>
              </w:rPr>
              <w:t>Requirement Partially Addressed</w:t>
            </w:r>
          </w:p>
        </w:tc>
        <w:tc>
          <w:tcPr>
            <w:tcW w:w="2204" w:type="dxa"/>
          </w:tcPr>
          <w:p w14:paraId="40312574" w14:textId="78413C67" w:rsidR="00F67161" w:rsidRPr="00BF51F5" w:rsidRDefault="00F67161" w:rsidP="00F67161">
            <w:pPr>
              <w:spacing w:before="120" w:after="120"/>
              <w:jc w:val="center"/>
              <w:rPr>
                <w:rFonts w:cs="Arial"/>
                <w:b/>
                <w:szCs w:val="24"/>
              </w:rPr>
            </w:pPr>
            <w:r>
              <w:rPr>
                <w:rFonts w:cs="Arial"/>
                <w:szCs w:val="24"/>
              </w:rPr>
              <w:t>Requirement Met</w:t>
            </w:r>
          </w:p>
        </w:tc>
        <w:tc>
          <w:tcPr>
            <w:tcW w:w="2204" w:type="dxa"/>
          </w:tcPr>
          <w:p w14:paraId="62A0BC34" w14:textId="79B7468E" w:rsidR="00F67161" w:rsidRPr="00BF51F5" w:rsidRDefault="00F67161" w:rsidP="00F67161">
            <w:pPr>
              <w:spacing w:before="120" w:after="120"/>
              <w:jc w:val="center"/>
              <w:rPr>
                <w:rFonts w:cs="Arial"/>
                <w:b/>
                <w:szCs w:val="24"/>
              </w:rPr>
            </w:pPr>
            <w:r>
              <w:rPr>
                <w:rFonts w:cs="Arial"/>
                <w:szCs w:val="24"/>
              </w:rPr>
              <w:t>Requirement Exceeded</w:t>
            </w:r>
          </w:p>
        </w:tc>
      </w:tr>
      <w:tr w:rsidR="00F67161" w14:paraId="61099339" w14:textId="77777777" w:rsidTr="007959A2">
        <w:trPr>
          <w:cantSplit/>
        </w:trPr>
        <w:tc>
          <w:tcPr>
            <w:tcW w:w="4135" w:type="dxa"/>
          </w:tcPr>
          <w:p w14:paraId="626D172E" w14:textId="77777777" w:rsidR="00F67161" w:rsidRPr="009F2D81" w:rsidRDefault="00F67161" w:rsidP="00F67161">
            <w:pPr>
              <w:spacing w:before="240"/>
              <w:rPr>
                <w:rFonts w:ascii="Times New Roman" w:eastAsia="Times New Roman" w:hAnsi="Times New Roman" w:cs="Times New Roman"/>
                <w:szCs w:val="24"/>
              </w:rPr>
            </w:pPr>
            <w:r>
              <w:rPr>
                <w:rFonts w:eastAsia="Times New Roman" w:cs="Arial"/>
                <w:color w:val="000000"/>
                <w:szCs w:val="24"/>
              </w:rPr>
              <w:t>Clearly and convincingly describes</w:t>
            </w:r>
            <w:r w:rsidRPr="003F42A8">
              <w:rPr>
                <w:rFonts w:eastAsia="Times New Roman" w:cs="Arial"/>
                <w:color w:val="000000"/>
                <w:szCs w:val="24"/>
              </w:rPr>
              <w:t xml:space="preserve"> how the proposed activities will align to the QPLS: data, content and pedagogy, equity, design and structure, collaboration and shared accountability, resources, and alignment and coherence.</w:t>
            </w:r>
          </w:p>
        </w:tc>
        <w:tc>
          <w:tcPr>
            <w:tcW w:w="2203" w:type="dxa"/>
          </w:tcPr>
          <w:p w14:paraId="0E1F26D1" w14:textId="77777777" w:rsidR="00F67161" w:rsidRDefault="00F67161" w:rsidP="00F67161">
            <w:pPr>
              <w:spacing w:beforeLines="120" w:before="288" w:after="0"/>
              <w:jc w:val="center"/>
              <w:rPr>
                <w:rFonts w:cs="Arial"/>
                <w:szCs w:val="24"/>
              </w:rPr>
            </w:pPr>
            <w:r>
              <w:rPr>
                <w:rFonts w:cs="Arial"/>
                <w:szCs w:val="24"/>
              </w:rPr>
              <w:t>0</w:t>
            </w:r>
          </w:p>
          <w:p w14:paraId="5C20D101" w14:textId="77777777" w:rsidR="00F67161" w:rsidRDefault="00F67161" w:rsidP="00F67161">
            <w:pPr>
              <w:spacing w:beforeLines="120" w:before="288" w:after="0"/>
              <w:jc w:val="center"/>
              <w:rPr>
                <w:rFonts w:cs="Arial"/>
                <w:szCs w:val="24"/>
              </w:rPr>
            </w:pPr>
            <w:r>
              <w:rPr>
                <w:rFonts w:cs="Arial"/>
                <w:szCs w:val="24"/>
              </w:rPr>
              <w:t>Requirement Not Addressed</w:t>
            </w:r>
          </w:p>
        </w:tc>
        <w:tc>
          <w:tcPr>
            <w:tcW w:w="2204" w:type="dxa"/>
          </w:tcPr>
          <w:p w14:paraId="71FEEC3A" w14:textId="77777777" w:rsidR="00F67161" w:rsidRDefault="00F67161" w:rsidP="00F67161">
            <w:pPr>
              <w:spacing w:beforeLines="120" w:before="288" w:after="0"/>
              <w:jc w:val="center"/>
              <w:rPr>
                <w:rFonts w:cs="Arial"/>
                <w:szCs w:val="24"/>
              </w:rPr>
            </w:pPr>
            <w:r>
              <w:rPr>
                <w:rFonts w:cs="Arial"/>
                <w:szCs w:val="24"/>
              </w:rPr>
              <w:t>1</w:t>
            </w:r>
          </w:p>
          <w:p w14:paraId="5BB9573E" w14:textId="77777777" w:rsidR="00F67161" w:rsidRDefault="00F67161" w:rsidP="00F67161">
            <w:pPr>
              <w:spacing w:beforeLines="120" w:before="288" w:after="0"/>
              <w:jc w:val="center"/>
              <w:rPr>
                <w:rFonts w:cs="Arial"/>
                <w:szCs w:val="24"/>
              </w:rPr>
            </w:pPr>
            <w:r>
              <w:rPr>
                <w:rFonts w:cs="Arial"/>
                <w:szCs w:val="24"/>
              </w:rPr>
              <w:t>Requirement Partially Addressed</w:t>
            </w:r>
          </w:p>
        </w:tc>
        <w:tc>
          <w:tcPr>
            <w:tcW w:w="2204" w:type="dxa"/>
          </w:tcPr>
          <w:p w14:paraId="7054CE32" w14:textId="77777777" w:rsidR="00F67161" w:rsidRDefault="00F67161" w:rsidP="00F67161">
            <w:pPr>
              <w:spacing w:beforeLines="120" w:before="288" w:after="0"/>
              <w:jc w:val="center"/>
              <w:rPr>
                <w:rFonts w:cs="Arial"/>
                <w:szCs w:val="24"/>
              </w:rPr>
            </w:pPr>
            <w:r>
              <w:rPr>
                <w:rFonts w:cs="Arial"/>
                <w:szCs w:val="24"/>
              </w:rPr>
              <w:t>2</w:t>
            </w:r>
          </w:p>
          <w:p w14:paraId="00774ADB" w14:textId="77777777" w:rsidR="00F67161" w:rsidRDefault="00F67161" w:rsidP="00F67161">
            <w:pPr>
              <w:spacing w:beforeLines="120" w:before="288" w:after="0"/>
              <w:jc w:val="center"/>
              <w:rPr>
                <w:rFonts w:cs="Arial"/>
                <w:szCs w:val="24"/>
              </w:rPr>
            </w:pPr>
            <w:r>
              <w:rPr>
                <w:rFonts w:cs="Arial"/>
                <w:szCs w:val="24"/>
              </w:rPr>
              <w:t>Requirement Met</w:t>
            </w:r>
          </w:p>
        </w:tc>
        <w:tc>
          <w:tcPr>
            <w:tcW w:w="2204" w:type="dxa"/>
          </w:tcPr>
          <w:p w14:paraId="7B7F5C3E" w14:textId="77777777" w:rsidR="00F67161" w:rsidRDefault="00F67161" w:rsidP="00F67161">
            <w:pPr>
              <w:spacing w:beforeLines="120" w:before="288" w:after="0"/>
              <w:jc w:val="center"/>
              <w:rPr>
                <w:rFonts w:cs="Arial"/>
                <w:szCs w:val="24"/>
              </w:rPr>
            </w:pPr>
            <w:r>
              <w:rPr>
                <w:rFonts w:cs="Arial"/>
                <w:szCs w:val="24"/>
              </w:rPr>
              <w:t>3</w:t>
            </w:r>
          </w:p>
          <w:p w14:paraId="6002A890" w14:textId="77777777" w:rsidR="00F67161" w:rsidRDefault="00F67161" w:rsidP="00F67161">
            <w:pPr>
              <w:spacing w:beforeLines="120" w:before="288" w:after="0"/>
              <w:jc w:val="center"/>
              <w:rPr>
                <w:rFonts w:cs="Arial"/>
                <w:szCs w:val="24"/>
              </w:rPr>
            </w:pPr>
            <w:r>
              <w:rPr>
                <w:rFonts w:cs="Arial"/>
                <w:szCs w:val="24"/>
              </w:rPr>
              <w:t>Requirement Exceeded</w:t>
            </w:r>
          </w:p>
        </w:tc>
      </w:tr>
      <w:tr w:rsidR="00F67161" w14:paraId="16A6AC38" w14:textId="77777777" w:rsidTr="007959A2">
        <w:trPr>
          <w:cantSplit/>
        </w:trPr>
        <w:tc>
          <w:tcPr>
            <w:tcW w:w="4135" w:type="dxa"/>
          </w:tcPr>
          <w:p w14:paraId="4761D5A9" w14:textId="77777777" w:rsidR="00F67161" w:rsidRPr="00C7260C" w:rsidRDefault="00F67161" w:rsidP="00F67161">
            <w:pPr>
              <w:spacing w:before="240"/>
              <w:rPr>
                <w:b/>
                <w:szCs w:val="24"/>
              </w:rPr>
            </w:pPr>
            <w:r w:rsidRPr="00C7260C">
              <w:rPr>
                <w:rFonts w:eastAsia="Times New Roman" w:cs="Arial"/>
                <w:color w:val="000000"/>
                <w:szCs w:val="24"/>
              </w:rPr>
              <w:t xml:space="preserve">Clearly and </w:t>
            </w:r>
            <w:r>
              <w:rPr>
                <w:rFonts w:eastAsia="Times New Roman" w:cs="Arial"/>
                <w:color w:val="000000"/>
                <w:szCs w:val="24"/>
              </w:rPr>
              <w:t>convincingly describes</w:t>
            </w:r>
            <w:r w:rsidRPr="00C7260C">
              <w:rPr>
                <w:rFonts w:eastAsia="Times New Roman" w:cs="Arial"/>
                <w:color w:val="000000"/>
                <w:szCs w:val="24"/>
              </w:rPr>
              <w:t xml:space="preserve"> the measures that will be used to determine the increased capacity of </w:t>
            </w:r>
            <w:r>
              <w:rPr>
                <w:rFonts w:eastAsia="Times New Roman" w:cs="Arial"/>
                <w:color w:val="000000"/>
                <w:szCs w:val="24"/>
              </w:rPr>
              <w:t>teachers, paraprofessionals,</w:t>
            </w:r>
            <w:r w:rsidRPr="00C7260C">
              <w:rPr>
                <w:rFonts w:eastAsia="Times New Roman" w:cs="Arial"/>
                <w:color w:val="000000"/>
                <w:szCs w:val="24"/>
              </w:rPr>
              <w:t xml:space="preserve"> and school leaders to address the goals of the grant.</w:t>
            </w:r>
          </w:p>
        </w:tc>
        <w:tc>
          <w:tcPr>
            <w:tcW w:w="2203" w:type="dxa"/>
          </w:tcPr>
          <w:p w14:paraId="0F4E9A13" w14:textId="77777777" w:rsidR="00F67161" w:rsidRDefault="00F67161" w:rsidP="00F67161">
            <w:pPr>
              <w:spacing w:beforeLines="120" w:before="288" w:after="0"/>
              <w:jc w:val="center"/>
              <w:rPr>
                <w:rFonts w:cs="Arial"/>
                <w:szCs w:val="24"/>
              </w:rPr>
            </w:pPr>
            <w:r>
              <w:rPr>
                <w:rFonts w:cs="Arial"/>
                <w:szCs w:val="24"/>
              </w:rPr>
              <w:t>0</w:t>
            </w:r>
          </w:p>
          <w:p w14:paraId="55799109" w14:textId="77777777" w:rsidR="00F67161" w:rsidRDefault="00F67161" w:rsidP="00F67161">
            <w:pPr>
              <w:spacing w:beforeLines="120" w:before="288" w:after="0"/>
              <w:jc w:val="center"/>
              <w:rPr>
                <w:rFonts w:cs="Arial"/>
                <w:szCs w:val="24"/>
              </w:rPr>
            </w:pPr>
            <w:r>
              <w:rPr>
                <w:rFonts w:cs="Arial"/>
                <w:szCs w:val="24"/>
              </w:rPr>
              <w:t>Requirement Not Addressed</w:t>
            </w:r>
          </w:p>
        </w:tc>
        <w:tc>
          <w:tcPr>
            <w:tcW w:w="2204" w:type="dxa"/>
          </w:tcPr>
          <w:p w14:paraId="33BDE0B6" w14:textId="77777777" w:rsidR="00F67161" w:rsidRDefault="00F67161" w:rsidP="00F67161">
            <w:pPr>
              <w:spacing w:beforeLines="120" w:before="288" w:after="0"/>
              <w:jc w:val="center"/>
              <w:rPr>
                <w:rFonts w:cs="Arial"/>
                <w:szCs w:val="24"/>
              </w:rPr>
            </w:pPr>
            <w:r>
              <w:rPr>
                <w:rFonts w:cs="Arial"/>
                <w:szCs w:val="24"/>
              </w:rPr>
              <w:t>1</w:t>
            </w:r>
          </w:p>
          <w:p w14:paraId="166262D0" w14:textId="77777777" w:rsidR="00F67161" w:rsidRDefault="00F67161" w:rsidP="00F67161">
            <w:pPr>
              <w:spacing w:beforeLines="120" w:before="288" w:after="0"/>
              <w:jc w:val="center"/>
              <w:rPr>
                <w:rFonts w:cs="Arial"/>
                <w:szCs w:val="24"/>
              </w:rPr>
            </w:pPr>
            <w:r>
              <w:rPr>
                <w:rFonts w:cs="Arial"/>
                <w:szCs w:val="24"/>
              </w:rPr>
              <w:t>Requirement Partially Addressed</w:t>
            </w:r>
          </w:p>
        </w:tc>
        <w:tc>
          <w:tcPr>
            <w:tcW w:w="2204" w:type="dxa"/>
          </w:tcPr>
          <w:p w14:paraId="57757DFB" w14:textId="77777777" w:rsidR="00F67161" w:rsidRDefault="00F67161" w:rsidP="00F67161">
            <w:pPr>
              <w:spacing w:beforeLines="120" w:before="288" w:after="0"/>
              <w:jc w:val="center"/>
              <w:rPr>
                <w:rFonts w:cs="Arial"/>
                <w:szCs w:val="24"/>
              </w:rPr>
            </w:pPr>
            <w:r>
              <w:rPr>
                <w:rFonts w:cs="Arial"/>
                <w:szCs w:val="24"/>
              </w:rPr>
              <w:t>2</w:t>
            </w:r>
          </w:p>
          <w:p w14:paraId="516EFDC5" w14:textId="77777777" w:rsidR="00F67161" w:rsidRDefault="00F67161" w:rsidP="00F67161">
            <w:pPr>
              <w:spacing w:beforeLines="120" w:before="288" w:after="0"/>
              <w:jc w:val="center"/>
              <w:rPr>
                <w:rFonts w:cs="Arial"/>
                <w:szCs w:val="24"/>
              </w:rPr>
            </w:pPr>
            <w:r>
              <w:rPr>
                <w:rFonts w:cs="Arial"/>
                <w:szCs w:val="24"/>
              </w:rPr>
              <w:t>Requirement Met</w:t>
            </w:r>
          </w:p>
        </w:tc>
        <w:tc>
          <w:tcPr>
            <w:tcW w:w="2204" w:type="dxa"/>
          </w:tcPr>
          <w:p w14:paraId="2A0A4483" w14:textId="77777777" w:rsidR="00F67161" w:rsidRDefault="00F67161" w:rsidP="00F67161">
            <w:pPr>
              <w:spacing w:beforeLines="120" w:before="288" w:after="0"/>
              <w:jc w:val="center"/>
              <w:rPr>
                <w:rFonts w:cs="Arial"/>
                <w:szCs w:val="24"/>
              </w:rPr>
            </w:pPr>
            <w:r>
              <w:rPr>
                <w:rFonts w:cs="Arial"/>
                <w:szCs w:val="24"/>
              </w:rPr>
              <w:t>3</w:t>
            </w:r>
          </w:p>
          <w:p w14:paraId="66F3162D" w14:textId="77777777" w:rsidR="00F67161" w:rsidRDefault="00F67161" w:rsidP="00F67161">
            <w:pPr>
              <w:spacing w:beforeLines="120" w:before="288" w:after="0"/>
              <w:jc w:val="center"/>
              <w:rPr>
                <w:rFonts w:cs="Arial"/>
                <w:szCs w:val="24"/>
              </w:rPr>
            </w:pPr>
            <w:r>
              <w:rPr>
                <w:rFonts w:cs="Arial"/>
                <w:szCs w:val="24"/>
              </w:rPr>
              <w:t>Requirement Exceeded</w:t>
            </w:r>
          </w:p>
        </w:tc>
      </w:tr>
      <w:tr w:rsidR="00F67161" w14:paraId="48FEAC54" w14:textId="77777777" w:rsidTr="007959A2">
        <w:trPr>
          <w:cantSplit/>
          <w:trHeight w:val="1826"/>
        </w:trPr>
        <w:tc>
          <w:tcPr>
            <w:tcW w:w="4135" w:type="dxa"/>
          </w:tcPr>
          <w:p w14:paraId="13299B17" w14:textId="77777777" w:rsidR="00F67161" w:rsidRPr="002A04D3" w:rsidRDefault="00F67161" w:rsidP="00F67161">
            <w:pPr>
              <w:spacing w:before="240" w:after="480"/>
              <w:rPr>
                <w:b/>
                <w:szCs w:val="24"/>
              </w:rPr>
            </w:pPr>
            <w:r>
              <w:rPr>
                <w:rFonts w:cs="Arial"/>
                <w:szCs w:val="24"/>
              </w:rPr>
              <w:t>Clearly and convincingly e</w:t>
            </w:r>
            <w:r w:rsidRPr="002A04D3">
              <w:rPr>
                <w:rFonts w:cs="Arial"/>
                <w:szCs w:val="24"/>
              </w:rPr>
              <w:t>xplain</w:t>
            </w:r>
            <w:r>
              <w:rPr>
                <w:rFonts w:cs="Arial"/>
                <w:szCs w:val="24"/>
              </w:rPr>
              <w:t>s</w:t>
            </w:r>
            <w:r w:rsidRPr="002A04D3">
              <w:rPr>
                <w:rFonts w:cs="Arial"/>
                <w:szCs w:val="24"/>
              </w:rPr>
              <w:t xml:space="preserve"> how the evaluation results will be used to sustain the project beyond the life of the grant so others may benefit from the project.</w:t>
            </w:r>
          </w:p>
        </w:tc>
        <w:tc>
          <w:tcPr>
            <w:tcW w:w="2203" w:type="dxa"/>
          </w:tcPr>
          <w:p w14:paraId="3E2F846B" w14:textId="77777777" w:rsidR="00F67161" w:rsidRDefault="00F67161" w:rsidP="00F67161">
            <w:pPr>
              <w:spacing w:beforeLines="120" w:before="288" w:after="0"/>
              <w:jc w:val="center"/>
              <w:rPr>
                <w:rFonts w:cs="Arial"/>
                <w:szCs w:val="24"/>
              </w:rPr>
            </w:pPr>
            <w:r>
              <w:rPr>
                <w:rFonts w:cs="Arial"/>
                <w:szCs w:val="24"/>
              </w:rPr>
              <w:t>0</w:t>
            </w:r>
          </w:p>
          <w:p w14:paraId="3FF7C627" w14:textId="77777777" w:rsidR="00F67161" w:rsidRDefault="00F67161" w:rsidP="00F67161">
            <w:pPr>
              <w:spacing w:beforeLines="120" w:before="288" w:after="0"/>
              <w:jc w:val="center"/>
              <w:rPr>
                <w:rFonts w:cs="Arial"/>
                <w:szCs w:val="24"/>
              </w:rPr>
            </w:pPr>
            <w:r>
              <w:rPr>
                <w:rFonts w:cs="Arial"/>
                <w:szCs w:val="24"/>
              </w:rPr>
              <w:t>Requirement Not Addressed</w:t>
            </w:r>
          </w:p>
        </w:tc>
        <w:tc>
          <w:tcPr>
            <w:tcW w:w="2204" w:type="dxa"/>
          </w:tcPr>
          <w:p w14:paraId="1F79925F" w14:textId="77777777" w:rsidR="00F67161" w:rsidRDefault="00F67161" w:rsidP="00F67161">
            <w:pPr>
              <w:spacing w:beforeLines="120" w:before="288" w:after="0"/>
              <w:jc w:val="center"/>
              <w:rPr>
                <w:rFonts w:cs="Arial"/>
                <w:szCs w:val="24"/>
              </w:rPr>
            </w:pPr>
            <w:r>
              <w:rPr>
                <w:rFonts w:cs="Arial"/>
                <w:szCs w:val="24"/>
              </w:rPr>
              <w:t>1</w:t>
            </w:r>
          </w:p>
          <w:p w14:paraId="15F115F0" w14:textId="77777777" w:rsidR="00F67161" w:rsidRDefault="00F67161" w:rsidP="00F67161">
            <w:pPr>
              <w:spacing w:beforeLines="120" w:before="288" w:after="0"/>
              <w:jc w:val="center"/>
              <w:rPr>
                <w:rFonts w:cs="Arial"/>
                <w:szCs w:val="24"/>
              </w:rPr>
            </w:pPr>
            <w:r>
              <w:rPr>
                <w:rFonts w:cs="Arial"/>
                <w:szCs w:val="24"/>
              </w:rPr>
              <w:t>Requirement Partially Addressed</w:t>
            </w:r>
          </w:p>
        </w:tc>
        <w:tc>
          <w:tcPr>
            <w:tcW w:w="2204" w:type="dxa"/>
          </w:tcPr>
          <w:p w14:paraId="5CE36058" w14:textId="77777777" w:rsidR="00F67161" w:rsidRDefault="00F67161" w:rsidP="00F67161">
            <w:pPr>
              <w:spacing w:beforeLines="120" w:before="288" w:after="0"/>
              <w:jc w:val="center"/>
              <w:rPr>
                <w:rFonts w:cs="Arial"/>
                <w:szCs w:val="24"/>
              </w:rPr>
            </w:pPr>
            <w:r>
              <w:rPr>
                <w:rFonts w:cs="Arial"/>
                <w:szCs w:val="24"/>
              </w:rPr>
              <w:t>2</w:t>
            </w:r>
          </w:p>
          <w:p w14:paraId="19F3E6BD" w14:textId="77777777" w:rsidR="00F67161" w:rsidRDefault="00F67161" w:rsidP="00F67161">
            <w:pPr>
              <w:spacing w:beforeLines="120" w:before="288" w:after="0"/>
              <w:jc w:val="center"/>
              <w:rPr>
                <w:rFonts w:cs="Arial"/>
                <w:szCs w:val="24"/>
              </w:rPr>
            </w:pPr>
            <w:r>
              <w:rPr>
                <w:rFonts w:cs="Arial"/>
                <w:szCs w:val="24"/>
              </w:rPr>
              <w:t>Requirement Met</w:t>
            </w:r>
          </w:p>
        </w:tc>
        <w:tc>
          <w:tcPr>
            <w:tcW w:w="2204" w:type="dxa"/>
          </w:tcPr>
          <w:p w14:paraId="3CE7A12D" w14:textId="77777777" w:rsidR="00F67161" w:rsidRDefault="00F67161" w:rsidP="00F67161">
            <w:pPr>
              <w:spacing w:beforeLines="120" w:before="288" w:after="0"/>
              <w:jc w:val="center"/>
              <w:rPr>
                <w:rFonts w:cs="Arial"/>
                <w:szCs w:val="24"/>
              </w:rPr>
            </w:pPr>
            <w:r>
              <w:rPr>
                <w:rFonts w:cs="Arial"/>
                <w:szCs w:val="24"/>
              </w:rPr>
              <w:t>3</w:t>
            </w:r>
          </w:p>
          <w:p w14:paraId="1D1EFDE3" w14:textId="77777777" w:rsidR="00F67161" w:rsidRDefault="00F67161" w:rsidP="00F67161">
            <w:pPr>
              <w:spacing w:beforeLines="120" w:before="288" w:after="0"/>
              <w:jc w:val="center"/>
              <w:rPr>
                <w:rFonts w:cs="Arial"/>
                <w:szCs w:val="24"/>
              </w:rPr>
            </w:pPr>
            <w:r>
              <w:rPr>
                <w:rFonts w:cs="Arial"/>
                <w:szCs w:val="24"/>
              </w:rPr>
              <w:t>Requirement Exceeded</w:t>
            </w:r>
          </w:p>
        </w:tc>
      </w:tr>
    </w:tbl>
    <w:p w14:paraId="6D25FB90" w14:textId="6D6A344B" w:rsidR="00C328E8" w:rsidRDefault="001F225A" w:rsidP="007959A2">
      <w:pPr>
        <w:pStyle w:val="Heading4"/>
        <w:spacing w:before="240"/>
        <w:ind w:left="0"/>
        <w:rPr>
          <w:rFonts w:cs="Arial"/>
        </w:rPr>
      </w:pPr>
      <w:r>
        <w:lastRenderedPageBreak/>
        <w:t>Priority Points</w:t>
      </w:r>
      <w:r w:rsidR="00A623B7">
        <w:t>:</w:t>
      </w:r>
      <w:r>
        <w:rPr>
          <w:rFonts w:cs="Arial"/>
        </w:rPr>
        <w:t xml:space="preserve"> </w:t>
      </w:r>
      <w:r w:rsidRPr="0035050A">
        <w:rPr>
          <w:rFonts w:cs="Arial"/>
        </w:rPr>
        <w:t>IHE/Nonprofit</w:t>
      </w:r>
      <w:r>
        <w:rPr>
          <w:rFonts w:cs="Arial"/>
        </w:rPr>
        <w:t xml:space="preserve"> </w:t>
      </w:r>
      <w:r>
        <w:t>Consortium Collaboration</w:t>
      </w:r>
      <w:r w:rsidR="00C328E8">
        <w:rPr>
          <w:rFonts w:cs="Arial"/>
        </w:rPr>
        <w:tab/>
      </w:r>
    </w:p>
    <w:p w14:paraId="377ADE55" w14:textId="7FB0263C" w:rsidR="001F225A" w:rsidRDefault="001F225A" w:rsidP="001F225A">
      <w:pPr>
        <w:tabs>
          <w:tab w:val="left" w:pos="6940"/>
        </w:tabs>
        <w:spacing w:before="240"/>
        <w:rPr>
          <w:rFonts w:cs="Arial"/>
          <w:szCs w:val="24"/>
        </w:rPr>
      </w:pPr>
      <w:r w:rsidRPr="00C74BCE">
        <w:t xml:space="preserve">The </w:t>
      </w:r>
      <w:r>
        <w:t>CDE</w:t>
      </w:r>
      <w:r w:rsidRPr="00C74BCE">
        <w:t xml:space="preserve"> shall </w:t>
      </w:r>
      <w:proofErr w:type="gramStart"/>
      <w:r w:rsidRPr="00C74BCE">
        <w:t>give positive consideration to</w:t>
      </w:r>
      <w:proofErr w:type="gramEnd"/>
      <w:r w:rsidRPr="00C74BCE">
        <w:t xml:space="preserve"> applicants that propose partnerships with an </w:t>
      </w:r>
      <w:r>
        <w:t>IHE</w:t>
      </w:r>
      <w:r w:rsidRPr="00C74BCE">
        <w:t xml:space="preserve">, a nonprofit organization, or a consortium of </w:t>
      </w:r>
      <w:r>
        <w:t xml:space="preserve">IHEs </w:t>
      </w:r>
      <w:r w:rsidRPr="00C74BCE">
        <w:t>and nonprofit organization</w:t>
      </w:r>
      <w:r>
        <w:t>s</w:t>
      </w:r>
      <w:r w:rsidRPr="00C74BCE">
        <w:t>.</w:t>
      </w:r>
    </w:p>
    <w:tbl>
      <w:tblPr>
        <w:tblStyle w:val="TableGrid"/>
        <w:tblW w:w="0" w:type="auto"/>
        <w:tblLook w:val="04A0" w:firstRow="1" w:lastRow="0" w:firstColumn="1" w:lastColumn="0" w:noHBand="0" w:noVBand="1"/>
        <w:tblDescription w:val="Priority Points: IHE/Nonprofit Consortium Collaboration Table"/>
      </w:tblPr>
      <w:tblGrid>
        <w:gridCol w:w="4135"/>
        <w:gridCol w:w="2203"/>
        <w:gridCol w:w="2204"/>
        <w:gridCol w:w="2204"/>
        <w:gridCol w:w="2204"/>
      </w:tblGrid>
      <w:tr w:rsidR="005D07E0" w:rsidRPr="00BF51F5" w14:paraId="49196A69" w14:textId="77777777" w:rsidTr="001F225A">
        <w:trPr>
          <w:cantSplit/>
          <w:tblHeader/>
        </w:trPr>
        <w:tc>
          <w:tcPr>
            <w:tcW w:w="4135" w:type="dxa"/>
          </w:tcPr>
          <w:p w14:paraId="30F0D673" w14:textId="00AB0FB8" w:rsidR="005D07E0" w:rsidRDefault="001F225A" w:rsidP="005D07E0">
            <w:pPr>
              <w:spacing w:before="240"/>
              <w:rPr>
                <w:b/>
                <w:szCs w:val="24"/>
              </w:rPr>
            </w:pPr>
            <w:r>
              <w:rPr>
                <w:b/>
                <w:szCs w:val="24"/>
              </w:rPr>
              <w:t>Requirement</w:t>
            </w:r>
          </w:p>
        </w:tc>
        <w:tc>
          <w:tcPr>
            <w:tcW w:w="2203" w:type="dxa"/>
          </w:tcPr>
          <w:p w14:paraId="706005F1" w14:textId="7EEE97B1" w:rsidR="005D07E0" w:rsidRPr="00C7260C" w:rsidRDefault="005D07E0" w:rsidP="005D07E0">
            <w:pPr>
              <w:pStyle w:val="Default"/>
              <w:spacing w:before="120" w:after="120"/>
              <w:jc w:val="center"/>
            </w:pPr>
            <w:r>
              <w:t>Requirement Not Addressed</w:t>
            </w:r>
          </w:p>
        </w:tc>
        <w:tc>
          <w:tcPr>
            <w:tcW w:w="2204" w:type="dxa"/>
          </w:tcPr>
          <w:p w14:paraId="2ED0EE74" w14:textId="223E52BF" w:rsidR="005D07E0" w:rsidRPr="00C7260C" w:rsidRDefault="005D07E0" w:rsidP="005D07E0">
            <w:pPr>
              <w:pStyle w:val="Default"/>
              <w:spacing w:before="120" w:after="120"/>
              <w:jc w:val="center"/>
            </w:pPr>
            <w:r>
              <w:t>Requirement Partially Addressed</w:t>
            </w:r>
          </w:p>
        </w:tc>
        <w:tc>
          <w:tcPr>
            <w:tcW w:w="2204" w:type="dxa"/>
          </w:tcPr>
          <w:p w14:paraId="2058B461" w14:textId="4BF91D29" w:rsidR="005D07E0" w:rsidRPr="00C7260C" w:rsidRDefault="005D07E0" w:rsidP="005D07E0">
            <w:pPr>
              <w:pStyle w:val="Default"/>
              <w:spacing w:before="120" w:after="120"/>
              <w:jc w:val="center"/>
            </w:pPr>
            <w:r>
              <w:t>Requirement Met</w:t>
            </w:r>
          </w:p>
        </w:tc>
        <w:tc>
          <w:tcPr>
            <w:tcW w:w="2204" w:type="dxa"/>
          </w:tcPr>
          <w:p w14:paraId="18D54735" w14:textId="2EE09B71" w:rsidR="005D07E0" w:rsidRPr="00C7260C" w:rsidRDefault="005D07E0" w:rsidP="005D07E0">
            <w:pPr>
              <w:pStyle w:val="Default"/>
              <w:spacing w:before="120" w:after="120"/>
              <w:jc w:val="center"/>
            </w:pPr>
            <w:r>
              <w:t>Requirement Exceeded</w:t>
            </w:r>
          </w:p>
        </w:tc>
      </w:tr>
      <w:tr w:rsidR="005D07E0" w14:paraId="710A6255" w14:textId="77777777" w:rsidTr="007959A2">
        <w:trPr>
          <w:cantSplit/>
        </w:trPr>
        <w:tc>
          <w:tcPr>
            <w:tcW w:w="4135" w:type="dxa"/>
          </w:tcPr>
          <w:p w14:paraId="6F1413C9" w14:textId="77777777" w:rsidR="005D07E0" w:rsidRPr="00C7260C" w:rsidRDefault="005D07E0" w:rsidP="005D07E0">
            <w:pPr>
              <w:spacing w:before="120" w:afterLines="120" w:after="288"/>
              <w:rPr>
                <w:b/>
                <w:szCs w:val="24"/>
              </w:rPr>
            </w:pPr>
            <w:r>
              <w:rPr>
                <w:rFonts w:eastAsia="Times New Roman" w:cs="Arial"/>
                <w:color w:val="000000"/>
                <w:szCs w:val="24"/>
              </w:rPr>
              <w:t xml:space="preserve">Application </w:t>
            </w:r>
            <w:r w:rsidRPr="00C7260C">
              <w:rPr>
                <w:rFonts w:eastAsia="Times New Roman" w:cs="Arial"/>
                <w:color w:val="000000"/>
                <w:szCs w:val="24"/>
              </w:rPr>
              <w:t>describe</w:t>
            </w:r>
            <w:r>
              <w:rPr>
                <w:rFonts w:eastAsia="Times New Roman" w:cs="Arial"/>
                <w:color w:val="000000"/>
                <w:szCs w:val="24"/>
              </w:rPr>
              <w:t>s</w:t>
            </w:r>
            <w:r w:rsidRPr="00C7260C">
              <w:rPr>
                <w:rFonts w:eastAsia="Times New Roman" w:cs="Arial"/>
                <w:color w:val="000000"/>
                <w:szCs w:val="24"/>
              </w:rPr>
              <w:t xml:space="preserve"> how the Lead Applicant will work together to implement proposed activities in consortium with one </w:t>
            </w:r>
            <w:r>
              <w:rPr>
                <w:rFonts w:eastAsia="Times New Roman" w:cs="Arial"/>
                <w:color w:val="000000"/>
                <w:szCs w:val="24"/>
              </w:rPr>
              <w:t xml:space="preserve">or </w:t>
            </w:r>
            <w:r w:rsidRPr="00C7260C">
              <w:rPr>
                <w:rFonts w:eastAsia="Times New Roman" w:cs="Arial"/>
                <w:color w:val="000000"/>
                <w:szCs w:val="24"/>
              </w:rPr>
              <w:t xml:space="preserve">more </w:t>
            </w:r>
            <w:r>
              <w:rPr>
                <w:rFonts w:eastAsia="Times New Roman" w:cs="Arial"/>
                <w:color w:val="000000"/>
                <w:szCs w:val="24"/>
              </w:rPr>
              <w:t>IHE</w:t>
            </w:r>
            <w:r w:rsidRPr="00C7260C">
              <w:rPr>
                <w:rFonts w:eastAsia="Times New Roman" w:cs="Arial"/>
                <w:color w:val="000000"/>
                <w:szCs w:val="24"/>
              </w:rPr>
              <w:t xml:space="preserve"> and/or nonprofit educational organization.</w:t>
            </w:r>
          </w:p>
        </w:tc>
        <w:tc>
          <w:tcPr>
            <w:tcW w:w="2203" w:type="dxa"/>
          </w:tcPr>
          <w:p w14:paraId="7047F775" w14:textId="77777777" w:rsidR="005D07E0" w:rsidRDefault="005D07E0" w:rsidP="005D07E0">
            <w:pPr>
              <w:spacing w:beforeLines="120" w:before="288" w:after="0"/>
              <w:jc w:val="center"/>
              <w:rPr>
                <w:rFonts w:cs="Arial"/>
                <w:szCs w:val="24"/>
              </w:rPr>
            </w:pPr>
            <w:r>
              <w:rPr>
                <w:rFonts w:cs="Arial"/>
                <w:szCs w:val="24"/>
              </w:rPr>
              <w:t>0</w:t>
            </w:r>
          </w:p>
          <w:p w14:paraId="13ED4402" w14:textId="77777777" w:rsidR="005D07E0" w:rsidRDefault="005D07E0" w:rsidP="005D07E0">
            <w:pPr>
              <w:spacing w:beforeLines="120" w:before="288" w:after="0"/>
              <w:jc w:val="center"/>
              <w:rPr>
                <w:rFonts w:cs="Arial"/>
                <w:szCs w:val="24"/>
              </w:rPr>
            </w:pPr>
            <w:r>
              <w:rPr>
                <w:rFonts w:cs="Arial"/>
                <w:szCs w:val="24"/>
              </w:rPr>
              <w:t>Requirement Not Addressed</w:t>
            </w:r>
          </w:p>
        </w:tc>
        <w:tc>
          <w:tcPr>
            <w:tcW w:w="2204" w:type="dxa"/>
          </w:tcPr>
          <w:p w14:paraId="1056C7FD" w14:textId="77777777" w:rsidR="005D07E0" w:rsidRDefault="005D07E0" w:rsidP="005D07E0">
            <w:pPr>
              <w:spacing w:beforeLines="120" w:before="288" w:after="0"/>
              <w:jc w:val="center"/>
              <w:rPr>
                <w:rFonts w:cs="Arial"/>
                <w:szCs w:val="24"/>
              </w:rPr>
            </w:pPr>
            <w:r>
              <w:rPr>
                <w:rFonts w:cs="Arial"/>
                <w:szCs w:val="24"/>
              </w:rPr>
              <w:t>1</w:t>
            </w:r>
          </w:p>
          <w:p w14:paraId="6C42DE6B" w14:textId="77777777" w:rsidR="005D07E0" w:rsidRDefault="005D07E0" w:rsidP="005D07E0">
            <w:pPr>
              <w:spacing w:beforeLines="120" w:before="288" w:after="0"/>
              <w:jc w:val="center"/>
              <w:rPr>
                <w:rFonts w:cs="Arial"/>
                <w:szCs w:val="24"/>
              </w:rPr>
            </w:pPr>
            <w:r>
              <w:rPr>
                <w:rFonts w:cs="Arial"/>
                <w:szCs w:val="24"/>
              </w:rPr>
              <w:t>Requirement Partially Addressed</w:t>
            </w:r>
          </w:p>
        </w:tc>
        <w:tc>
          <w:tcPr>
            <w:tcW w:w="2204" w:type="dxa"/>
          </w:tcPr>
          <w:p w14:paraId="5C5BA0D6" w14:textId="77777777" w:rsidR="005D07E0" w:rsidRDefault="005D07E0" w:rsidP="005D07E0">
            <w:pPr>
              <w:spacing w:beforeLines="120" w:before="288" w:after="0"/>
              <w:jc w:val="center"/>
              <w:rPr>
                <w:rFonts w:cs="Arial"/>
                <w:szCs w:val="24"/>
              </w:rPr>
            </w:pPr>
            <w:r>
              <w:rPr>
                <w:rFonts w:cs="Arial"/>
                <w:szCs w:val="24"/>
              </w:rPr>
              <w:t>2</w:t>
            </w:r>
          </w:p>
          <w:p w14:paraId="42361639" w14:textId="77777777" w:rsidR="005D07E0" w:rsidRDefault="005D07E0" w:rsidP="005D07E0">
            <w:pPr>
              <w:spacing w:beforeLines="120" w:before="288" w:after="0"/>
              <w:jc w:val="center"/>
              <w:rPr>
                <w:rFonts w:cs="Arial"/>
                <w:szCs w:val="24"/>
              </w:rPr>
            </w:pPr>
            <w:r>
              <w:rPr>
                <w:rFonts w:cs="Arial"/>
                <w:szCs w:val="24"/>
              </w:rPr>
              <w:t>Requirement Met</w:t>
            </w:r>
          </w:p>
        </w:tc>
        <w:tc>
          <w:tcPr>
            <w:tcW w:w="2204" w:type="dxa"/>
          </w:tcPr>
          <w:p w14:paraId="2FFF5270" w14:textId="77777777" w:rsidR="005D07E0" w:rsidRDefault="005D07E0" w:rsidP="005D07E0">
            <w:pPr>
              <w:spacing w:beforeLines="120" w:before="288" w:after="0"/>
              <w:jc w:val="center"/>
              <w:rPr>
                <w:rFonts w:cs="Arial"/>
                <w:szCs w:val="24"/>
              </w:rPr>
            </w:pPr>
            <w:r>
              <w:rPr>
                <w:rFonts w:cs="Arial"/>
                <w:szCs w:val="24"/>
              </w:rPr>
              <w:t>(Scale of 0–2)</w:t>
            </w:r>
          </w:p>
        </w:tc>
      </w:tr>
      <w:tr w:rsidR="005D07E0" w14:paraId="380D33C9" w14:textId="77777777" w:rsidTr="007959A2">
        <w:trPr>
          <w:cantSplit/>
          <w:trHeight w:val="2600"/>
        </w:trPr>
        <w:tc>
          <w:tcPr>
            <w:tcW w:w="4135" w:type="dxa"/>
          </w:tcPr>
          <w:p w14:paraId="366B5A4E" w14:textId="77777777" w:rsidR="005D07E0" w:rsidRPr="002A04D3" w:rsidRDefault="005D07E0" w:rsidP="005D07E0">
            <w:pPr>
              <w:spacing w:before="120" w:afterLines="120" w:after="288"/>
              <w:rPr>
                <w:b/>
                <w:szCs w:val="24"/>
              </w:rPr>
            </w:pPr>
            <w:r>
              <w:rPr>
                <w:rFonts w:eastAsia="Times New Roman" w:cs="Arial"/>
                <w:color w:val="000000"/>
                <w:szCs w:val="24"/>
              </w:rPr>
              <w:t>Application includes L</w:t>
            </w:r>
            <w:r w:rsidRPr="00C7260C">
              <w:rPr>
                <w:rFonts w:eastAsia="Times New Roman" w:cs="Arial"/>
                <w:color w:val="000000"/>
                <w:szCs w:val="24"/>
              </w:rPr>
              <w:t>etters of Commitment addressed to the lead applicant and signed by the LEA Superintendent in each participating LEA, the Dean of the specific department within an IHE, and/or the Chief Executive Officer of the nonprofit educational service provider, as applicable.</w:t>
            </w:r>
          </w:p>
        </w:tc>
        <w:tc>
          <w:tcPr>
            <w:tcW w:w="2203" w:type="dxa"/>
          </w:tcPr>
          <w:p w14:paraId="4F742CE4" w14:textId="77777777" w:rsidR="005D07E0" w:rsidRDefault="005D07E0" w:rsidP="005D07E0">
            <w:pPr>
              <w:spacing w:beforeLines="120" w:before="288" w:after="0"/>
              <w:jc w:val="center"/>
              <w:rPr>
                <w:rFonts w:cs="Arial"/>
                <w:szCs w:val="24"/>
              </w:rPr>
            </w:pPr>
            <w:r>
              <w:rPr>
                <w:rFonts w:cs="Arial"/>
                <w:szCs w:val="24"/>
              </w:rPr>
              <w:t>0</w:t>
            </w:r>
          </w:p>
          <w:p w14:paraId="36EAF667" w14:textId="77777777" w:rsidR="005D07E0" w:rsidRDefault="005D07E0" w:rsidP="005D07E0">
            <w:pPr>
              <w:spacing w:beforeLines="120" w:before="288" w:after="0"/>
              <w:jc w:val="center"/>
              <w:rPr>
                <w:rFonts w:cs="Arial"/>
                <w:szCs w:val="24"/>
              </w:rPr>
            </w:pPr>
            <w:r>
              <w:rPr>
                <w:rFonts w:cs="Arial"/>
                <w:szCs w:val="24"/>
              </w:rPr>
              <w:t>Requirement Not Addressed</w:t>
            </w:r>
          </w:p>
        </w:tc>
        <w:tc>
          <w:tcPr>
            <w:tcW w:w="2204" w:type="dxa"/>
          </w:tcPr>
          <w:p w14:paraId="6EFBA382" w14:textId="77777777" w:rsidR="005D07E0" w:rsidRDefault="005D07E0" w:rsidP="005D07E0">
            <w:pPr>
              <w:spacing w:beforeLines="120" w:before="288" w:after="0"/>
              <w:jc w:val="center"/>
              <w:rPr>
                <w:rFonts w:cs="Arial"/>
                <w:szCs w:val="24"/>
              </w:rPr>
            </w:pPr>
            <w:r>
              <w:rPr>
                <w:rFonts w:cs="Arial"/>
                <w:szCs w:val="24"/>
              </w:rPr>
              <w:t>1</w:t>
            </w:r>
          </w:p>
          <w:p w14:paraId="46BCA71D" w14:textId="77777777" w:rsidR="005D07E0" w:rsidRDefault="005D07E0" w:rsidP="005D07E0">
            <w:pPr>
              <w:spacing w:beforeLines="120" w:before="288" w:after="0"/>
              <w:jc w:val="center"/>
              <w:rPr>
                <w:rFonts w:cs="Arial"/>
                <w:szCs w:val="24"/>
              </w:rPr>
            </w:pPr>
            <w:r>
              <w:rPr>
                <w:rFonts w:cs="Arial"/>
                <w:szCs w:val="24"/>
              </w:rPr>
              <w:t>Requirement Partially Addressed</w:t>
            </w:r>
          </w:p>
        </w:tc>
        <w:tc>
          <w:tcPr>
            <w:tcW w:w="2204" w:type="dxa"/>
          </w:tcPr>
          <w:p w14:paraId="4E63EB29" w14:textId="77777777" w:rsidR="005D07E0" w:rsidRDefault="005D07E0" w:rsidP="005D07E0">
            <w:pPr>
              <w:spacing w:beforeLines="120" w:before="288" w:after="0"/>
              <w:jc w:val="center"/>
              <w:rPr>
                <w:rFonts w:cs="Arial"/>
                <w:szCs w:val="24"/>
              </w:rPr>
            </w:pPr>
            <w:r>
              <w:rPr>
                <w:rFonts w:cs="Arial"/>
                <w:szCs w:val="24"/>
              </w:rPr>
              <w:t>2</w:t>
            </w:r>
          </w:p>
          <w:p w14:paraId="6A4165C0" w14:textId="77777777" w:rsidR="005D07E0" w:rsidRDefault="005D07E0" w:rsidP="005D07E0">
            <w:pPr>
              <w:spacing w:beforeLines="120" w:before="288" w:after="0"/>
              <w:jc w:val="center"/>
              <w:rPr>
                <w:rFonts w:cs="Arial"/>
                <w:szCs w:val="24"/>
              </w:rPr>
            </w:pPr>
            <w:r>
              <w:rPr>
                <w:rFonts w:cs="Arial"/>
                <w:szCs w:val="24"/>
              </w:rPr>
              <w:t>Requirement Met</w:t>
            </w:r>
          </w:p>
        </w:tc>
        <w:tc>
          <w:tcPr>
            <w:tcW w:w="2204" w:type="dxa"/>
          </w:tcPr>
          <w:p w14:paraId="69E95921" w14:textId="77777777" w:rsidR="005D07E0" w:rsidRDefault="005D07E0" w:rsidP="005D07E0">
            <w:pPr>
              <w:spacing w:beforeLines="120" w:before="288" w:after="0"/>
              <w:jc w:val="center"/>
              <w:rPr>
                <w:rFonts w:cs="Arial"/>
                <w:szCs w:val="24"/>
              </w:rPr>
            </w:pPr>
            <w:r>
              <w:rPr>
                <w:rFonts w:cs="Arial"/>
                <w:szCs w:val="24"/>
              </w:rPr>
              <w:t>(Scale of 0–2)</w:t>
            </w:r>
          </w:p>
        </w:tc>
      </w:tr>
    </w:tbl>
    <w:p w14:paraId="27227DAB" w14:textId="06C63A29" w:rsidR="00C328E8" w:rsidRPr="0086652B" w:rsidRDefault="00C328E8" w:rsidP="007959A2">
      <w:pPr>
        <w:pStyle w:val="Heading4"/>
        <w:ind w:left="0"/>
      </w:pPr>
      <w:r w:rsidRPr="00E10B26">
        <w:lastRenderedPageBreak/>
        <w:t>Budget</w:t>
      </w:r>
    </w:p>
    <w:p w14:paraId="7A498E49" w14:textId="55056AA8" w:rsidR="00E10B26" w:rsidRPr="00E10B26" w:rsidRDefault="00E10B26" w:rsidP="007959A2">
      <w:pPr>
        <w:pStyle w:val="Heading5"/>
        <w:rPr>
          <w:szCs w:val="26"/>
        </w:rPr>
      </w:pPr>
      <w:r>
        <w:t>Part 1</w:t>
      </w:r>
      <w:r w:rsidR="00A623B7">
        <w:t xml:space="preserve">: </w:t>
      </w:r>
      <w:r>
        <w:t>Budget</w:t>
      </w:r>
    </w:p>
    <w:tbl>
      <w:tblPr>
        <w:tblStyle w:val="TableGrid"/>
        <w:tblW w:w="0" w:type="auto"/>
        <w:tblLook w:val="04A0" w:firstRow="1" w:lastRow="0" w:firstColumn="1" w:lastColumn="0" w:noHBand="0" w:noVBand="1"/>
        <w:tblDescription w:val="Part 1: Budget Table"/>
      </w:tblPr>
      <w:tblGrid>
        <w:gridCol w:w="4135"/>
        <w:gridCol w:w="2203"/>
        <w:gridCol w:w="2204"/>
        <w:gridCol w:w="2204"/>
        <w:gridCol w:w="2204"/>
      </w:tblGrid>
      <w:tr w:rsidR="005D07E0" w14:paraId="1CBBFFE0" w14:textId="77777777" w:rsidTr="00E10B26">
        <w:trPr>
          <w:cantSplit/>
          <w:tblHeader/>
        </w:trPr>
        <w:tc>
          <w:tcPr>
            <w:tcW w:w="4135" w:type="dxa"/>
          </w:tcPr>
          <w:p w14:paraId="38BAD2A3" w14:textId="3898F99B" w:rsidR="005D07E0" w:rsidRPr="00BF51F5" w:rsidRDefault="00E10B26" w:rsidP="005D07E0">
            <w:pPr>
              <w:spacing w:before="120" w:after="120"/>
              <w:rPr>
                <w:rFonts w:cs="Arial"/>
                <w:b/>
                <w:szCs w:val="24"/>
              </w:rPr>
            </w:pPr>
            <w:r>
              <w:rPr>
                <w:rFonts w:cs="Arial"/>
                <w:b/>
                <w:szCs w:val="24"/>
              </w:rPr>
              <w:t>Requirement</w:t>
            </w:r>
          </w:p>
        </w:tc>
        <w:tc>
          <w:tcPr>
            <w:tcW w:w="2203" w:type="dxa"/>
          </w:tcPr>
          <w:p w14:paraId="722F940C" w14:textId="484575A8" w:rsidR="005D07E0" w:rsidRPr="00BF51F5" w:rsidRDefault="005D07E0" w:rsidP="005D07E0">
            <w:pPr>
              <w:spacing w:before="120" w:after="120"/>
              <w:jc w:val="center"/>
              <w:rPr>
                <w:rFonts w:cs="Arial"/>
                <w:b/>
                <w:szCs w:val="24"/>
              </w:rPr>
            </w:pPr>
            <w:r>
              <w:rPr>
                <w:rFonts w:cs="Arial"/>
                <w:szCs w:val="24"/>
              </w:rPr>
              <w:t>Requirement Not Addressed</w:t>
            </w:r>
          </w:p>
        </w:tc>
        <w:tc>
          <w:tcPr>
            <w:tcW w:w="2204" w:type="dxa"/>
          </w:tcPr>
          <w:p w14:paraId="264F9296" w14:textId="2BBF9B47" w:rsidR="005D07E0" w:rsidRPr="00BF51F5" w:rsidRDefault="005D07E0" w:rsidP="005D07E0">
            <w:pPr>
              <w:spacing w:before="120" w:after="120"/>
              <w:jc w:val="center"/>
              <w:rPr>
                <w:rFonts w:cs="Arial"/>
                <w:b/>
                <w:szCs w:val="24"/>
              </w:rPr>
            </w:pPr>
            <w:r>
              <w:rPr>
                <w:rFonts w:cs="Arial"/>
                <w:szCs w:val="24"/>
              </w:rPr>
              <w:t>Requirement Partially Addressed</w:t>
            </w:r>
          </w:p>
        </w:tc>
        <w:tc>
          <w:tcPr>
            <w:tcW w:w="2204" w:type="dxa"/>
          </w:tcPr>
          <w:p w14:paraId="55B752A4" w14:textId="70B4C62F" w:rsidR="005D07E0" w:rsidRPr="00BF51F5" w:rsidRDefault="005D07E0" w:rsidP="005D07E0">
            <w:pPr>
              <w:spacing w:before="120" w:after="120"/>
              <w:jc w:val="center"/>
              <w:rPr>
                <w:rFonts w:cs="Arial"/>
                <w:b/>
                <w:szCs w:val="24"/>
              </w:rPr>
            </w:pPr>
            <w:r>
              <w:rPr>
                <w:rFonts w:cs="Arial"/>
                <w:szCs w:val="24"/>
              </w:rPr>
              <w:t>Requirement Met</w:t>
            </w:r>
          </w:p>
        </w:tc>
        <w:tc>
          <w:tcPr>
            <w:tcW w:w="2204" w:type="dxa"/>
          </w:tcPr>
          <w:p w14:paraId="713BC330" w14:textId="6223FFA5" w:rsidR="005D07E0" w:rsidRPr="00BF51F5" w:rsidRDefault="005D07E0" w:rsidP="005D07E0">
            <w:pPr>
              <w:spacing w:before="120" w:after="120"/>
              <w:jc w:val="center"/>
              <w:rPr>
                <w:rFonts w:cs="Arial"/>
                <w:b/>
                <w:szCs w:val="24"/>
              </w:rPr>
            </w:pPr>
            <w:r>
              <w:rPr>
                <w:rFonts w:cs="Arial"/>
                <w:szCs w:val="24"/>
              </w:rPr>
              <w:t>Requirement Exceeded</w:t>
            </w:r>
          </w:p>
        </w:tc>
      </w:tr>
      <w:tr w:rsidR="005D07E0" w14:paraId="0A02DBD3" w14:textId="77777777" w:rsidTr="007959A2">
        <w:trPr>
          <w:cantSplit/>
        </w:trPr>
        <w:tc>
          <w:tcPr>
            <w:tcW w:w="4135" w:type="dxa"/>
          </w:tcPr>
          <w:p w14:paraId="7353FC87" w14:textId="77777777" w:rsidR="005D07E0" w:rsidRPr="00C7260C" w:rsidRDefault="005D07E0" w:rsidP="005D07E0">
            <w:pPr>
              <w:spacing w:before="120" w:after="120"/>
              <w:rPr>
                <w:rFonts w:cs="Arial"/>
                <w:iCs/>
                <w:szCs w:val="24"/>
              </w:rPr>
            </w:pPr>
            <w:r>
              <w:rPr>
                <w:rFonts w:cs="Arial"/>
                <w:iCs/>
                <w:szCs w:val="24"/>
              </w:rPr>
              <w:t>T</w:t>
            </w:r>
            <w:r w:rsidRPr="00F534AA">
              <w:rPr>
                <w:rFonts w:cs="Arial"/>
                <w:iCs/>
                <w:szCs w:val="24"/>
              </w:rPr>
              <w:t xml:space="preserve">he </w:t>
            </w:r>
            <w:r w:rsidRPr="00F534AA">
              <w:rPr>
                <w:rFonts w:cs="Arial"/>
                <w:szCs w:val="24"/>
              </w:rPr>
              <w:t xml:space="preserve">RII </w:t>
            </w:r>
            <w:r w:rsidRPr="00F534AA">
              <w:rPr>
                <w:rFonts w:cs="Arial"/>
                <w:bCs/>
                <w:szCs w:val="24"/>
              </w:rPr>
              <w:t xml:space="preserve">Proposed Project Budget Summary </w:t>
            </w:r>
            <w:r w:rsidRPr="00F534AA">
              <w:rPr>
                <w:rFonts w:cs="Arial"/>
                <w:iCs/>
                <w:szCs w:val="24"/>
              </w:rPr>
              <w:t>includ</w:t>
            </w:r>
            <w:r>
              <w:rPr>
                <w:rFonts w:cs="Arial"/>
                <w:iCs/>
                <w:szCs w:val="24"/>
              </w:rPr>
              <w:t>es</w:t>
            </w:r>
            <w:r w:rsidRPr="00F534AA">
              <w:rPr>
                <w:rFonts w:cs="Arial"/>
                <w:iCs/>
                <w:szCs w:val="24"/>
              </w:rPr>
              <w:t xml:space="preserve"> allowable costs </w:t>
            </w:r>
            <w:r w:rsidRPr="00F534AA">
              <w:rPr>
                <w:rFonts w:cs="Arial"/>
                <w:bCs/>
                <w:szCs w:val="24"/>
              </w:rPr>
              <w:t xml:space="preserve">for the project’s performance period from </w:t>
            </w:r>
            <w:r>
              <w:rPr>
                <w:rFonts w:cs="Arial"/>
                <w:szCs w:val="24"/>
              </w:rPr>
              <w:t>April 1</w:t>
            </w:r>
            <w:r w:rsidRPr="00F534AA">
              <w:rPr>
                <w:rFonts w:cs="Arial"/>
                <w:szCs w:val="24"/>
              </w:rPr>
              <w:t>, 2022</w:t>
            </w:r>
            <w:r>
              <w:rPr>
                <w:rFonts w:cs="Arial"/>
                <w:szCs w:val="24"/>
              </w:rPr>
              <w:t>,</w:t>
            </w:r>
            <w:r w:rsidRPr="00F534AA">
              <w:rPr>
                <w:rFonts w:cs="Arial"/>
                <w:szCs w:val="24"/>
              </w:rPr>
              <w:t xml:space="preserve"> through </w:t>
            </w:r>
            <w:r>
              <w:rPr>
                <w:rFonts w:cs="Arial"/>
                <w:szCs w:val="24"/>
              </w:rPr>
              <w:t>March</w:t>
            </w:r>
            <w:r w:rsidRPr="00F534AA">
              <w:rPr>
                <w:rFonts w:cs="Arial"/>
                <w:szCs w:val="24"/>
              </w:rPr>
              <w:t xml:space="preserve"> 30, 2026</w:t>
            </w:r>
            <w:r w:rsidRPr="00F534AA">
              <w:rPr>
                <w:rFonts w:cs="Arial"/>
                <w:iCs/>
                <w:szCs w:val="24"/>
              </w:rPr>
              <w:t xml:space="preserve">. </w:t>
            </w:r>
          </w:p>
        </w:tc>
        <w:tc>
          <w:tcPr>
            <w:tcW w:w="2203" w:type="dxa"/>
          </w:tcPr>
          <w:p w14:paraId="780BC42C" w14:textId="77777777" w:rsidR="005D07E0" w:rsidRDefault="005D07E0" w:rsidP="005D07E0">
            <w:pPr>
              <w:spacing w:beforeLines="120" w:before="288" w:after="0"/>
              <w:jc w:val="center"/>
              <w:rPr>
                <w:rFonts w:cs="Arial"/>
                <w:szCs w:val="24"/>
              </w:rPr>
            </w:pPr>
            <w:r>
              <w:rPr>
                <w:rFonts w:cs="Arial"/>
                <w:szCs w:val="24"/>
              </w:rPr>
              <w:t>0</w:t>
            </w:r>
          </w:p>
          <w:p w14:paraId="7671B302" w14:textId="77777777" w:rsidR="005D07E0" w:rsidRDefault="005D07E0" w:rsidP="005D07E0">
            <w:pPr>
              <w:spacing w:beforeLines="120" w:before="288" w:after="0"/>
              <w:jc w:val="center"/>
              <w:rPr>
                <w:rFonts w:cs="Arial"/>
                <w:szCs w:val="24"/>
              </w:rPr>
            </w:pPr>
            <w:r>
              <w:rPr>
                <w:rFonts w:cs="Arial"/>
                <w:szCs w:val="24"/>
              </w:rPr>
              <w:t>Requirement Not Addressed</w:t>
            </w:r>
          </w:p>
        </w:tc>
        <w:tc>
          <w:tcPr>
            <w:tcW w:w="2204" w:type="dxa"/>
          </w:tcPr>
          <w:p w14:paraId="02ED4AA4" w14:textId="77777777" w:rsidR="005D07E0" w:rsidRDefault="005D07E0" w:rsidP="005D07E0">
            <w:pPr>
              <w:spacing w:beforeLines="120" w:before="288" w:after="0"/>
              <w:jc w:val="center"/>
              <w:rPr>
                <w:rFonts w:cs="Arial"/>
                <w:szCs w:val="24"/>
              </w:rPr>
            </w:pPr>
            <w:r>
              <w:rPr>
                <w:rFonts w:cs="Arial"/>
                <w:szCs w:val="24"/>
              </w:rPr>
              <w:t>1</w:t>
            </w:r>
          </w:p>
          <w:p w14:paraId="6455333E" w14:textId="77777777" w:rsidR="005D07E0" w:rsidRDefault="005D07E0" w:rsidP="005D07E0">
            <w:pPr>
              <w:spacing w:beforeLines="120" w:before="288" w:after="0"/>
              <w:jc w:val="center"/>
              <w:rPr>
                <w:rFonts w:cs="Arial"/>
                <w:szCs w:val="24"/>
              </w:rPr>
            </w:pPr>
            <w:r>
              <w:rPr>
                <w:rFonts w:cs="Arial"/>
                <w:szCs w:val="24"/>
              </w:rPr>
              <w:t>Requirement Partially Addressed</w:t>
            </w:r>
          </w:p>
        </w:tc>
        <w:tc>
          <w:tcPr>
            <w:tcW w:w="2204" w:type="dxa"/>
          </w:tcPr>
          <w:p w14:paraId="339BBE2C" w14:textId="77777777" w:rsidR="005D07E0" w:rsidRDefault="005D07E0" w:rsidP="005D07E0">
            <w:pPr>
              <w:spacing w:beforeLines="120" w:before="288" w:after="0"/>
              <w:jc w:val="center"/>
              <w:rPr>
                <w:rFonts w:cs="Arial"/>
                <w:szCs w:val="24"/>
              </w:rPr>
            </w:pPr>
            <w:r>
              <w:rPr>
                <w:rFonts w:cs="Arial"/>
                <w:szCs w:val="24"/>
              </w:rPr>
              <w:t>2</w:t>
            </w:r>
          </w:p>
          <w:p w14:paraId="78DB76FF" w14:textId="77777777" w:rsidR="005D07E0" w:rsidRDefault="005D07E0" w:rsidP="005D07E0">
            <w:pPr>
              <w:spacing w:beforeLines="120" w:before="288" w:after="0"/>
              <w:jc w:val="center"/>
              <w:rPr>
                <w:rFonts w:cs="Arial"/>
                <w:szCs w:val="24"/>
              </w:rPr>
            </w:pPr>
            <w:r>
              <w:rPr>
                <w:rFonts w:cs="Arial"/>
                <w:szCs w:val="24"/>
              </w:rPr>
              <w:t>Requirement Met</w:t>
            </w:r>
          </w:p>
        </w:tc>
        <w:tc>
          <w:tcPr>
            <w:tcW w:w="2204" w:type="dxa"/>
          </w:tcPr>
          <w:p w14:paraId="16710CC0" w14:textId="77777777" w:rsidR="005D07E0" w:rsidRDefault="005D07E0" w:rsidP="005D07E0">
            <w:pPr>
              <w:spacing w:beforeLines="120" w:before="288" w:after="0"/>
              <w:jc w:val="center"/>
              <w:rPr>
                <w:rFonts w:cs="Arial"/>
                <w:szCs w:val="24"/>
              </w:rPr>
            </w:pPr>
            <w:r>
              <w:rPr>
                <w:rFonts w:cs="Arial"/>
                <w:szCs w:val="24"/>
              </w:rPr>
              <w:t>(Scale of 0–2)</w:t>
            </w:r>
          </w:p>
        </w:tc>
      </w:tr>
      <w:tr w:rsidR="005D07E0" w14:paraId="3F8B14E8" w14:textId="77777777" w:rsidTr="007959A2">
        <w:trPr>
          <w:cantSplit/>
        </w:trPr>
        <w:tc>
          <w:tcPr>
            <w:tcW w:w="4135" w:type="dxa"/>
          </w:tcPr>
          <w:p w14:paraId="2AB7D85D" w14:textId="77777777" w:rsidR="005D07E0" w:rsidRPr="00C7260C" w:rsidRDefault="005D07E0" w:rsidP="005D07E0">
            <w:pPr>
              <w:pStyle w:val="BodyTextIndent3"/>
              <w:widowControl w:val="0"/>
              <w:tabs>
                <w:tab w:val="left" w:pos="-1440"/>
              </w:tabs>
              <w:spacing w:before="120"/>
              <w:ind w:left="0"/>
              <w:rPr>
                <w:rFonts w:cs="Arial"/>
                <w:iCs/>
                <w:sz w:val="24"/>
                <w:szCs w:val="24"/>
              </w:rPr>
            </w:pPr>
            <w:r w:rsidRPr="00F534AA">
              <w:rPr>
                <w:rFonts w:cs="Arial"/>
                <w:iCs/>
                <w:sz w:val="24"/>
                <w:szCs w:val="24"/>
              </w:rPr>
              <w:t>Provide</w:t>
            </w:r>
            <w:r>
              <w:rPr>
                <w:rFonts w:cs="Arial"/>
                <w:iCs/>
                <w:sz w:val="24"/>
                <w:szCs w:val="24"/>
              </w:rPr>
              <w:t>s</w:t>
            </w:r>
            <w:r w:rsidRPr="00F534AA">
              <w:rPr>
                <w:rFonts w:cs="Arial"/>
                <w:iCs/>
                <w:sz w:val="24"/>
                <w:szCs w:val="24"/>
              </w:rPr>
              <w:t xml:space="preserve"> a detailed explanation on the RII Project Budget Narrative for each line</w:t>
            </w:r>
            <w:r>
              <w:rPr>
                <w:rFonts w:cs="Arial"/>
                <w:iCs/>
                <w:sz w:val="24"/>
                <w:szCs w:val="24"/>
              </w:rPr>
              <w:t xml:space="preserve"> </w:t>
            </w:r>
            <w:r w:rsidRPr="00F534AA">
              <w:rPr>
                <w:rFonts w:cs="Arial"/>
                <w:iCs/>
                <w:sz w:val="24"/>
                <w:szCs w:val="24"/>
              </w:rPr>
              <w:t>item included in the five-year performance period. The narrative include</w:t>
            </w:r>
            <w:r>
              <w:rPr>
                <w:rFonts w:cs="Arial"/>
                <w:iCs/>
                <w:sz w:val="24"/>
                <w:szCs w:val="24"/>
              </w:rPr>
              <w:t>s</w:t>
            </w:r>
            <w:r w:rsidRPr="00F534AA">
              <w:rPr>
                <w:rFonts w:cs="Arial"/>
                <w:iCs/>
                <w:sz w:val="24"/>
                <w:szCs w:val="24"/>
              </w:rPr>
              <w:t xml:space="preserve"> a description of how the proposed costs to implement the </w:t>
            </w:r>
            <w:r w:rsidRPr="00F534AA">
              <w:rPr>
                <w:rFonts w:cs="Arial"/>
                <w:sz w:val="24"/>
                <w:szCs w:val="24"/>
              </w:rPr>
              <w:t>proposed project</w:t>
            </w:r>
            <w:r w:rsidRPr="00F534AA">
              <w:rPr>
                <w:rFonts w:cs="Arial"/>
                <w:bCs/>
                <w:sz w:val="24"/>
                <w:szCs w:val="24"/>
              </w:rPr>
              <w:t xml:space="preserve"> </w:t>
            </w:r>
            <w:r w:rsidRPr="00F534AA">
              <w:rPr>
                <w:rFonts w:cs="Arial"/>
                <w:iCs/>
                <w:sz w:val="24"/>
                <w:szCs w:val="24"/>
              </w:rPr>
              <w:t xml:space="preserve">are necessary and reasonable in terms of project activities, benefits to participants, and project outcomes. </w:t>
            </w:r>
          </w:p>
        </w:tc>
        <w:tc>
          <w:tcPr>
            <w:tcW w:w="2203" w:type="dxa"/>
          </w:tcPr>
          <w:p w14:paraId="69F42FCA" w14:textId="77777777" w:rsidR="005D07E0" w:rsidRDefault="005D07E0" w:rsidP="005D07E0">
            <w:pPr>
              <w:spacing w:beforeLines="120" w:before="288" w:after="0"/>
              <w:jc w:val="center"/>
              <w:rPr>
                <w:rFonts w:cs="Arial"/>
                <w:szCs w:val="24"/>
              </w:rPr>
            </w:pPr>
            <w:r>
              <w:rPr>
                <w:rFonts w:cs="Arial"/>
                <w:szCs w:val="24"/>
              </w:rPr>
              <w:t>0</w:t>
            </w:r>
          </w:p>
          <w:p w14:paraId="57DA4793" w14:textId="77777777" w:rsidR="005D07E0" w:rsidRDefault="005D07E0" w:rsidP="005D07E0">
            <w:pPr>
              <w:spacing w:beforeLines="120" w:before="288" w:after="0"/>
              <w:jc w:val="center"/>
              <w:rPr>
                <w:rFonts w:cs="Arial"/>
                <w:szCs w:val="24"/>
              </w:rPr>
            </w:pPr>
            <w:r>
              <w:rPr>
                <w:rFonts w:cs="Arial"/>
                <w:szCs w:val="24"/>
              </w:rPr>
              <w:t>Requirement Not Addressed</w:t>
            </w:r>
          </w:p>
        </w:tc>
        <w:tc>
          <w:tcPr>
            <w:tcW w:w="2204" w:type="dxa"/>
          </w:tcPr>
          <w:p w14:paraId="6BF8C185" w14:textId="77777777" w:rsidR="005D07E0" w:rsidRDefault="005D07E0" w:rsidP="005D07E0">
            <w:pPr>
              <w:spacing w:beforeLines="120" w:before="288" w:after="0"/>
              <w:jc w:val="center"/>
              <w:rPr>
                <w:rFonts w:cs="Arial"/>
                <w:szCs w:val="24"/>
              </w:rPr>
            </w:pPr>
            <w:r>
              <w:rPr>
                <w:rFonts w:cs="Arial"/>
                <w:szCs w:val="24"/>
              </w:rPr>
              <w:t>1</w:t>
            </w:r>
          </w:p>
          <w:p w14:paraId="4124F378" w14:textId="77777777" w:rsidR="005D07E0" w:rsidRDefault="005D07E0" w:rsidP="005D07E0">
            <w:pPr>
              <w:spacing w:beforeLines="120" w:before="288" w:after="0"/>
              <w:jc w:val="center"/>
              <w:rPr>
                <w:rFonts w:cs="Arial"/>
                <w:szCs w:val="24"/>
              </w:rPr>
            </w:pPr>
            <w:r>
              <w:rPr>
                <w:rFonts w:cs="Arial"/>
                <w:szCs w:val="24"/>
              </w:rPr>
              <w:t>Requirement Partially Addressed</w:t>
            </w:r>
          </w:p>
        </w:tc>
        <w:tc>
          <w:tcPr>
            <w:tcW w:w="2204" w:type="dxa"/>
          </w:tcPr>
          <w:p w14:paraId="419D08A7" w14:textId="77777777" w:rsidR="005D07E0" w:rsidRDefault="005D07E0" w:rsidP="005D07E0">
            <w:pPr>
              <w:spacing w:beforeLines="120" w:before="288" w:after="0"/>
              <w:jc w:val="center"/>
              <w:rPr>
                <w:rFonts w:cs="Arial"/>
                <w:szCs w:val="24"/>
              </w:rPr>
            </w:pPr>
            <w:r>
              <w:rPr>
                <w:rFonts w:cs="Arial"/>
                <w:szCs w:val="24"/>
              </w:rPr>
              <w:t>2</w:t>
            </w:r>
          </w:p>
          <w:p w14:paraId="4061C223" w14:textId="77777777" w:rsidR="005D07E0" w:rsidRDefault="005D07E0" w:rsidP="005D07E0">
            <w:pPr>
              <w:spacing w:beforeLines="120" w:before="288" w:after="0"/>
              <w:jc w:val="center"/>
              <w:rPr>
                <w:rFonts w:cs="Arial"/>
                <w:szCs w:val="24"/>
              </w:rPr>
            </w:pPr>
            <w:r>
              <w:rPr>
                <w:rFonts w:cs="Arial"/>
                <w:szCs w:val="24"/>
              </w:rPr>
              <w:t>Requirement Met</w:t>
            </w:r>
          </w:p>
        </w:tc>
        <w:tc>
          <w:tcPr>
            <w:tcW w:w="2204" w:type="dxa"/>
          </w:tcPr>
          <w:p w14:paraId="01619FE5" w14:textId="77777777" w:rsidR="005D07E0" w:rsidRDefault="005D07E0" w:rsidP="005D07E0">
            <w:pPr>
              <w:spacing w:beforeLines="120" w:before="288" w:after="0"/>
              <w:jc w:val="center"/>
              <w:rPr>
                <w:rFonts w:cs="Arial"/>
                <w:szCs w:val="24"/>
              </w:rPr>
            </w:pPr>
            <w:r>
              <w:rPr>
                <w:rFonts w:cs="Arial"/>
                <w:szCs w:val="24"/>
              </w:rPr>
              <w:t>3</w:t>
            </w:r>
          </w:p>
          <w:p w14:paraId="193FCC3E" w14:textId="77777777" w:rsidR="005D07E0" w:rsidRDefault="005D07E0" w:rsidP="005D07E0">
            <w:pPr>
              <w:spacing w:beforeLines="120" w:before="288" w:after="0"/>
              <w:jc w:val="center"/>
              <w:rPr>
                <w:rFonts w:cs="Arial"/>
                <w:szCs w:val="24"/>
              </w:rPr>
            </w:pPr>
            <w:r>
              <w:rPr>
                <w:rFonts w:cs="Arial"/>
                <w:szCs w:val="24"/>
              </w:rPr>
              <w:t>Requirement Exceeded</w:t>
            </w:r>
          </w:p>
        </w:tc>
      </w:tr>
    </w:tbl>
    <w:p w14:paraId="55ADD7F7" w14:textId="77777777" w:rsidR="00C328E8" w:rsidRPr="0042609E" w:rsidRDefault="00C328E8" w:rsidP="00C328E8">
      <w:pPr>
        <w:tabs>
          <w:tab w:val="left" w:pos="6940"/>
        </w:tabs>
        <w:rPr>
          <w:rFonts w:cs="Arial"/>
          <w:szCs w:val="24"/>
        </w:rPr>
        <w:sectPr w:rsidR="00C328E8" w:rsidRPr="0042609E" w:rsidSect="00D5319F">
          <w:headerReference w:type="even" r:id="rId43"/>
          <w:headerReference w:type="default" r:id="rId44"/>
          <w:footerReference w:type="default" r:id="rId45"/>
          <w:headerReference w:type="first" r:id="rId46"/>
          <w:pgSz w:w="15840" w:h="12240" w:orient="landscape" w:code="1"/>
          <w:pgMar w:top="1440" w:right="1440" w:bottom="1440" w:left="1440" w:header="720" w:footer="720" w:gutter="0"/>
          <w:cols w:space="720"/>
          <w:titlePg/>
          <w:docGrid w:linePitch="360"/>
        </w:sectPr>
      </w:pPr>
    </w:p>
    <w:p w14:paraId="0943126C" w14:textId="77777777" w:rsidR="0062770F" w:rsidRPr="00476013" w:rsidRDefault="00BA2F4D" w:rsidP="00476013">
      <w:pPr>
        <w:pStyle w:val="Heading2"/>
        <w:jc w:val="center"/>
        <w:rPr>
          <w:sz w:val="96"/>
          <w:szCs w:val="96"/>
        </w:rPr>
      </w:pPr>
      <w:bookmarkStart w:id="90" w:name="_Toc86663641"/>
      <w:bookmarkStart w:id="91" w:name="_Toc89072210"/>
      <w:bookmarkStart w:id="92" w:name="_Toc89072307"/>
      <w:r w:rsidRPr="00476013">
        <w:rPr>
          <w:sz w:val="96"/>
          <w:szCs w:val="96"/>
        </w:rPr>
        <w:lastRenderedPageBreak/>
        <w:t>Appendices</w:t>
      </w:r>
      <w:bookmarkEnd w:id="90"/>
      <w:bookmarkEnd w:id="91"/>
      <w:bookmarkEnd w:id="92"/>
    </w:p>
    <w:p w14:paraId="6D267E17" w14:textId="77777777" w:rsidR="00BA2F4D" w:rsidRDefault="00BA2F4D" w:rsidP="00BA2F4D">
      <w:pPr>
        <w:spacing w:before="1920"/>
      </w:pPr>
    </w:p>
    <w:p w14:paraId="78C035C8" w14:textId="77777777" w:rsidR="00D5319F" w:rsidRDefault="00D5319F">
      <w:pPr>
        <w:spacing w:after="160" w:line="259" w:lineRule="auto"/>
        <w:sectPr w:rsidR="00D5319F" w:rsidSect="00C56650">
          <w:headerReference w:type="even" r:id="rId47"/>
          <w:headerReference w:type="default" r:id="rId48"/>
          <w:footerReference w:type="default" r:id="rId49"/>
          <w:headerReference w:type="first" r:id="rId50"/>
          <w:pgSz w:w="12240" w:h="15840"/>
          <w:pgMar w:top="1440" w:right="1440" w:bottom="1440" w:left="1440" w:header="720" w:footer="720" w:gutter="0"/>
          <w:cols w:space="720"/>
          <w:docGrid w:linePitch="360"/>
        </w:sectPr>
      </w:pPr>
      <w:bookmarkStart w:id="93" w:name="_Toc83900990"/>
    </w:p>
    <w:p w14:paraId="00DC3C8F" w14:textId="77777777" w:rsidR="009E3B7F" w:rsidRPr="00AF2839" w:rsidRDefault="006D6E05" w:rsidP="00476013">
      <w:pPr>
        <w:pStyle w:val="Heading3"/>
        <w:numPr>
          <w:ilvl w:val="0"/>
          <w:numId w:val="0"/>
        </w:numPr>
        <w:jc w:val="center"/>
      </w:pPr>
      <w:bookmarkStart w:id="94" w:name="_Toc86663642"/>
      <w:bookmarkStart w:id="95" w:name="_Toc89072211"/>
      <w:bookmarkStart w:id="96" w:name="_Toc89072308"/>
      <w:r>
        <w:lastRenderedPageBreak/>
        <w:t>A</w:t>
      </w:r>
      <w:r w:rsidR="0077188A">
        <w:t>ppendix</w:t>
      </w:r>
      <w:r>
        <w:t xml:space="preserve"> A</w:t>
      </w:r>
      <w:r w:rsidR="009E3B7F" w:rsidRPr="00AF2839">
        <w:t>: Online Application Instructions</w:t>
      </w:r>
      <w:bookmarkEnd w:id="93"/>
      <w:bookmarkEnd w:id="94"/>
      <w:bookmarkEnd w:id="95"/>
      <w:bookmarkEnd w:id="96"/>
    </w:p>
    <w:p w14:paraId="1C0BFA04" w14:textId="6C8A1336" w:rsidR="009E3B7F" w:rsidRPr="00AF2839" w:rsidRDefault="009E3B7F" w:rsidP="00207DC3">
      <w:r w:rsidRPr="00AF2839">
        <w:t xml:space="preserve">Applicants should use the instructions below for filling out the </w:t>
      </w:r>
      <w:r w:rsidR="005D6397">
        <w:rPr>
          <w:szCs w:val="24"/>
        </w:rPr>
        <w:t xml:space="preserve">RII Grant </w:t>
      </w:r>
      <w:r w:rsidRPr="00AF2839">
        <w:t>online application</w:t>
      </w:r>
      <w:r w:rsidR="00A37604">
        <w:t>, a link to which will be</w:t>
      </w:r>
      <w:r w:rsidRPr="00AF2839">
        <w:t xml:space="preserve"> available </w:t>
      </w:r>
      <w:r w:rsidR="00A37604">
        <w:t xml:space="preserve">on the RFA web page </w:t>
      </w:r>
      <w:r w:rsidRPr="00AF2839">
        <w:t xml:space="preserve">at </w:t>
      </w:r>
      <w:hyperlink r:id="rId51" w:tooltip="RII RFA web page" w:history="1">
        <w:r w:rsidR="003B102C" w:rsidRPr="003B102C">
          <w:rPr>
            <w:rStyle w:val="Hyperlink"/>
          </w:rPr>
          <w:t>http://www.cde.ca.gov/fg/fo/r12/rii21rfa.asp</w:t>
        </w:r>
      </w:hyperlink>
      <w:r w:rsidR="000739E9">
        <w:rPr>
          <w:rFonts w:eastAsia="Times New Roman" w:cs="Arial"/>
          <w:szCs w:val="24"/>
        </w:rPr>
        <w:t xml:space="preserve"> </w:t>
      </w:r>
      <w:r w:rsidR="00A37604">
        <w:t>shortly after the RFA is released</w:t>
      </w:r>
      <w:r w:rsidRPr="00AF2839">
        <w:t xml:space="preserve">. Complete all required fields in the application, upload attachments, and provide the appropriate digital signature. </w:t>
      </w:r>
      <w:r w:rsidRPr="00C256DF">
        <w:rPr>
          <w:b/>
        </w:rPr>
        <w:t xml:space="preserve">The CDE must receive your online submission no later than 4 p.m. on </w:t>
      </w:r>
      <w:r w:rsidR="005D4A73">
        <w:rPr>
          <w:b/>
        </w:rPr>
        <w:t xml:space="preserve">Friday, </w:t>
      </w:r>
      <w:r w:rsidR="005D6397" w:rsidRPr="00C256DF">
        <w:rPr>
          <w:b/>
        </w:rPr>
        <w:t xml:space="preserve">January </w:t>
      </w:r>
      <w:r w:rsidR="007452B5" w:rsidRPr="00C256DF">
        <w:rPr>
          <w:b/>
        </w:rPr>
        <w:t>28</w:t>
      </w:r>
      <w:r w:rsidRPr="00C256DF">
        <w:rPr>
          <w:b/>
        </w:rPr>
        <w:t>, 202</w:t>
      </w:r>
      <w:r w:rsidR="005D6397" w:rsidRPr="00C256DF">
        <w:rPr>
          <w:b/>
        </w:rPr>
        <w:t>2</w:t>
      </w:r>
      <w:r w:rsidRPr="00C256DF">
        <w:rPr>
          <w:b/>
        </w:rPr>
        <w:t>.</w:t>
      </w:r>
    </w:p>
    <w:p w14:paraId="12832A8C" w14:textId="77777777" w:rsidR="009E3B7F" w:rsidRPr="00AF2839" w:rsidRDefault="009E3B7F" w:rsidP="00207DC3">
      <w:r w:rsidRPr="00AF2839">
        <w:t>You must adhere to character limits for each of the fields. Responses that exceed the character limits will not be captured by the system and will not be reviewed.</w:t>
      </w:r>
    </w:p>
    <w:p w14:paraId="4D03F997" w14:textId="77777777" w:rsidR="009E3B7F" w:rsidRPr="0099432D" w:rsidRDefault="009E3B7F" w:rsidP="00476013">
      <w:pPr>
        <w:pStyle w:val="Heading4"/>
        <w:ind w:left="0"/>
      </w:pPr>
      <w:bookmarkStart w:id="97" w:name="_Toc83900991"/>
      <w:bookmarkStart w:id="98" w:name="_Toc86663643"/>
      <w:r w:rsidRPr="0099432D">
        <w:t>Saving Responses</w:t>
      </w:r>
      <w:bookmarkEnd w:id="97"/>
      <w:bookmarkEnd w:id="98"/>
    </w:p>
    <w:p w14:paraId="2C8AE4F2" w14:textId="77777777" w:rsidR="009E3B7F" w:rsidRPr="00AF2839" w:rsidRDefault="009E3B7F" w:rsidP="00207DC3">
      <w:r w:rsidRPr="00AF2839">
        <w:t>You must select the Save Responses button on the first page of the online application if you do not intend to complete the application in one session. Once you select the Save Responses button, a page will appear that asks for your email address. You will receive an email with a unique URL (web address) for entrance back into the application. It is recommended that you copy the URL on the application page and save it in case you do not receive the confirmation email. This address will allow you to return to your application.</w:t>
      </w:r>
    </w:p>
    <w:p w14:paraId="677DD3DB" w14:textId="77777777" w:rsidR="00366FA0" w:rsidRPr="00366FA0" w:rsidRDefault="009E3B7F" w:rsidP="00476013">
      <w:pPr>
        <w:pStyle w:val="Heading4"/>
        <w:ind w:left="0"/>
      </w:pPr>
      <w:bookmarkStart w:id="99" w:name="_Toc83900992"/>
      <w:bookmarkStart w:id="100" w:name="_Toc86663644"/>
      <w:r w:rsidRPr="0099432D">
        <w:t>Applicant Information</w:t>
      </w:r>
      <w:bookmarkEnd w:id="99"/>
      <w:bookmarkEnd w:id="100"/>
    </w:p>
    <w:p w14:paraId="61355E62" w14:textId="77777777" w:rsidR="00366FA0" w:rsidRPr="00366FA0" w:rsidRDefault="00366FA0" w:rsidP="00C93EC7">
      <w:pPr>
        <w:pStyle w:val="Heading5"/>
      </w:pPr>
      <w:r w:rsidRPr="00366FA0">
        <w:t xml:space="preserve">Project Director Information </w:t>
      </w:r>
    </w:p>
    <w:p w14:paraId="5772D009" w14:textId="77777777" w:rsidR="00366FA0" w:rsidRDefault="00366FA0" w:rsidP="00B02ADF">
      <w:r w:rsidRPr="00730AF6">
        <w:rPr>
          <w:rFonts w:cs="Arial"/>
          <w:szCs w:val="24"/>
        </w:rPr>
        <w:t>Please list the name of the person who will serve as the Project Director of the grant. This person will be the main point of contact between the CDE and the grantee.</w:t>
      </w:r>
    </w:p>
    <w:tbl>
      <w:tblPr>
        <w:tblStyle w:val="GridTable41"/>
        <w:tblW w:w="9512" w:type="dxa"/>
        <w:tblLayout w:type="fixed"/>
        <w:tblLook w:val="0620" w:firstRow="1" w:lastRow="0" w:firstColumn="0" w:lastColumn="0" w:noHBand="1" w:noVBand="1"/>
        <w:tblDescription w:val="Applicant Information Table"/>
      </w:tblPr>
      <w:tblGrid>
        <w:gridCol w:w="2942"/>
        <w:gridCol w:w="6570"/>
      </w:tblGrid>
      <w:tr w:rsidR="003E15BE" w:rsidRPr="003E15BE" w14:paraId="2B58A0BE" w14:textId="77777777" w:rsidTr="00702249">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16471" w14:textId="77777777" w:rsidR="009E3B7F" w:rsidRPr="003E15BE" w:rsidRDefault="009E3B7F" w:rsidP="003F529F">
            <w:pPr>
              <w:spacing w:before="80" w:after="80"/>
              <w:jc w:val="center"/>
              <w:rPr>
                <w:color w:val="auto"/>
              </w:rPr>
            </w:pPr>
            <w:bookmarkStart w:id="101" w:name="_Hlk86569220"/>
            <w:r w:rsidRPr="003E15BE">
              <w:rPr>
                <w:color w:val="auto"/>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72164" w14:textId="77777777" w:rsidR="009E3B7F" w:rsidRPr="003E15BE" w:rsidRDefault="009E3B7F" w:rsidP="003F529F">
            <w:pPr>
              <w:spacing w:before="80" w:after="80"/>
              <w:jc w:val="center"/>
              <w:rPr>
                <w:color w:val="auto"/>
              </w:rPr>
            </w:pPr>
            <w:r w:rsidRPr="003E15BE">
              <w:rPr>
                <w:color w:val="auto"/>
              </w:rPr>
              <w:t>Instructions</w:t>
            </w:r>
          </w:p>
        </w:tc>
      </w:tr>
      <w:bookmarkEnd w:id="101"/>
      <w:tr w:rsidR="00532905" w:rsidRPr="00730AF6" w14:paraId="39504BCD" w14:textId="77777777" w:rsidTr="00702249">
        <w:trPr>
          <w:cantSplit/>
          <w:trHeight w:val="530"/>
        </w:trPr>
        <w:tc>
          <w:tcPr>
            <w:tcW w:w="2942" w:type="dxa"/>
            <w:tcBorders>
              <w:bottom w:val="single" w:sz="4" w:space="0" w:color="auto"/>
            </w:tcBorders>
            <w:shd w:val="clear" w:color="auto" w:fill="auto"/>
          </w:tcPr>
          <w:p w14:paraId="56D8E979" w14:textId="39C97CE0" w:rsidR="00532905" w:rsidRPr="00B02ADF" w:rsidRDefault="00B02ADF" w:rsidP="00B02ADF">
            <w:pPr>
              <w:spacing w:before="120" w:after="120"/>
              <w:rPr>
                <w:rFonts w:cs="Arial"/>
                <w:szCs w:val="24"/>
              </w:rPr>
            </w:pPr>
            <w:r>
              <w:rPr>
                <w:rFonts w:cs="Arial"/>
                <w:szCs w:val="24"/>
              </w:rPr>
              <w:t xml:space="preserve">Project Director </w:t>
            </w:r>
            <w:r w:rsidR="00532905" w:rsidRPr="00B02ADF">
              <w:rPr>
                <w:rFonts w:cs="Arial"/>
                <w:szCs w:val="24"/>
              </w:rPr>
              <w:t>First Name</w:t>
            </w:r>
          </w:p>
        </w:tc>
        <w:tc>
          <w:tcPr>
            <w:tcW w:w="6570" w:type="dxa"/>
            <w:tcBorders>
              <w:bottom w:val="single" w:sz="4" w:space="0" w:color="auto"/>
            </w:tcBorders>
            <w:shd w:val="clear" w:color="auto" w:fill="auto"/>
          </w:tcPr>
          <w:p w14:paraId="5A819C26" w14:textId="77777777" w:rsidR="00532905" w:rsidRPr="00730AF6" w:rsidRDefault="00532905" w:rsidP="00437FA2">
            <w:pPr>
              <w:spacing w:before="120" w:after="120"/>
              <w:rPr>
                <w:rFonts w:cs="Arial"/>
                <w:szCs w:val="24"/>
              </w:rPr>
            </w:pPr>
            <w:r>
              <w:rPr>
                <w:rFonts w:cs="Arial"/>
                <w:szCs w:val="24"/>
              </w:rPr>
              <w:t>Please provide the first name of the Project Director.</w:t>
            </w:r>
          </w:p>
        </w:tc>
      </w:tr>
      <w:tr w:rsidR="00532905" w:rsidRPr="00730AF6" w14:paraId="3066805E" w14:textId="77777777" w:rsidTr="00702249">
        <w:trPr>
          <w:cantSplit/>
          <w:trHeight w:val="840"/>
        </w:trPr>
        <w:tc>
          <w:tcPr>
            <w:tcW w:w="2942" w:type="dxa"/>
            <w:tcBorders>
              <w:bottom w:val="single" w:sz="4" w:space="0" w:color="auto"/>
            </w:tcBorders>
            <w:shd w:val="clear" w:color="auto" w:fill="auto"/>
          </w:tcPr>
          <w:p w14:paraId="5878C3D3" w14:textId="1686D544" w:rsidR="00532905" w:rsidRPr="00B02ADF" w:rsidRDefault="00B02ADF" w:rsidP="00B02ADF">
            <w:pPr>
              <w:spacing w:before="120" w:after="120"/>
              <w:rPr>
                <w:rFonts w:cs="Arial"/>
                <w:szCs w:val="24"/>
              </w:rPr>
            </w:pPr>
            <w:r>
              <w:rPr>
                <w:rFonts w:cs="Arial"/>
                <w:szCs w:val="24"/>
              </w:rPr>
              <w:t xml:space="preserve">Project Director </w:t>
            </w:r>
            <w:r w:rsidR="00532905" w:rsidRPr="00B02ADF">
              <w:rPr>
                <w:rFonts w:cs="Arial"/>
                <w:szCs w:val="24"/>
              </w:rPr>
              <w:t>Last Name</w:t>
            </w:r>
          </w:p>
        </w:tc>
        <w:tc>
          <w:tcPr>
            <w:tcW w:w="6570" w:type="dxa"/>
            <w:tcBorders>
              <w:bottom w:val="single" w:sz="4" w:space="0" w:color="auto"/>
            </w:tcBorders>
            <w:shd w:val="clear" w:color="auto" w:fill="auto"/>
          </w:tcPr>
          <w:p w14:paraId="2BFD5304" w14:textId="77777777" w:rsidR="00532905" w:rsidRDefault="00532905" w:rsidP="00437FA2">
            <w:pPr>
              <w:spacing w:before="120" w:after="120"/>
              <w:rPr>
                <w:rFonts w:cs="Arial"/>
                <w:szCs w:val="24"/>
              </w:rPr>
            </w:pPr>
            <w:r>
              <w:rPr>
                <w:rFonts w:cs="Arial"/>
                <w:szCs w:val="24"/>
              </w:rPr>
              <w:t>Please provide the last name of the Project Director</w:t>
            </w:r>
          </w:p>
        </w:tc>
      </w:tr>
      <w:tr w:rsidR="00532905" w:rsidRPr="00730AF6" w14:paraId="2B6570E9" w14:textId="77777777" w:rsidTr="00702249">
        <w:trPr>
          <w:cantSplit/>
          <w:trHeight w:val="840"/>
        </w:trPr>
        <w:tc>
          <w:tcPr>
            <w:tcW w:w="2942" w:type="dxa"/>
            <w:tcBorders>
              <w:bottom w:val="single" w:sz="4" w:space="0" w:color="auto"/>
            </w:tcBorders>
            <w:shd w:val="clear" w:color="auto" w:fill="auto"/>
          </w:tcPr>
          <w:p w14:paraId="67576DAA" w14:textId="0026B2B2" w:rsidR="00532905" w:rsidRPr="00B02ADF" w:rsidRDefault="00B02ADF" w:rsidP="00B02ADF">
            <w:pPr>
              <w:spacing w:before="120" w:after="120"/>
              <w:rPr>
                <w:rFonts w:cs="Arial"/>
                <w:szCs w:val="24"/>
              </w:rPr>
            </w:pPr>
            <w:r>
              <w:rPr>
                <w:rFonts w:cs="Arial"/>
                <w:szCs w:val="24"/>
              </w:rPr>
              <w:t xml:space="preserve">Project Director </w:t>
            </w:r>
            <w:r w:rsidR="00532905" w:rsidRPr="00B02ADF">
              <w:rPr>
                <w:rFonts w:cs="Arial"/>
                <w:szCs w:val="24"/>
              </w:rPr>
              <w:t>Title</w:t>
            </w:r>
          </w:p>
        </w:tc>
        <w:tc>
          <w:tcPr>
            <w:tcW w:w="6570" w:type="dxa"/>
            <w:tcBorders>
              <w:bottom w:val="single" w:sz="4" w:space="0" w:color="auto"/>
            </w:tcBorders>
            <w:shd w:val="clear" w:color="auto" w:fill="auto"/>
          </w:tcPr>
          <w:p w14:paraId="2016F298" w14:textId="77777777" w:rsidR="00532905" w:rsidRPr="00532905" w:rsidRDefault="00532905" w:rsidP="00437FA2">
            <w:pPr>
              <w:spacing w:before="120" w:after="120"/>
              <w:rPr>
                <w:rFonts w:cs="Arial"/>
                <w:szCs w:val="24"/>
              </w:rPr>
            </w:pPr>
            <w:r>
              <w:rPr>
                <w:rFonts w:cs="Arial"/>
                <w:szCs w:val="24"/>
              </w:rPr>
              <w:t>Please provide the title of the Project Director</w:t>
            </w:r>
          </w:p>
        </w:tc>
      </w:tr>
      <w:tr w:rsidR="00B966C8" w:rsidRPr="00730AF6" w14:paraId="56205420" w14:textId="77777777" w:rsidTr="00702249">
        <w:trPr>
          <w:cantSplit/>
          <w:trHeight w:val="485"/>
        </w:trPr>
        <w:tc>
          <w:tcPr>
            <w:tcW w:w="2942" w:type="dxa"/>
            <w:tcBorders>
              <w:top w:val="single" w:sz="4" w:space="0" w:color="auto"/>
            </w:tcBorders>
            <w:shd w:val="clear" w:color="auto" w:fill="auto"/>
          </w:tcPr>
          <w:p w14:paraId="6DA95D41" w14:textId="67A2027F" w:rsidR="00B966C8" w:rsidRPr="00B02ADF" w:rsidRDefault="00B02ADF" w:rsidP="00B02ADF">
            <w:pPr>
              <w:spacing w:before="120" w:after="120"/>
              <w:rPr>
                <w:rFonts w:cs="Arial"/>
                <w:szCs w:val="24"/>
              </w:rPr>
            </w:pPr>
            <w:r>
              <w:rPr>
                <w:rFonts w:cs="Arial"/>
                <w:szCs w:val="24"/>
              </w:rPr>
              <w:t xml:space="preserve">Project Director </w:t>
            </w:r>
            <w:r w:rsidR="00B966C8" w:rsidRPr="00B02ADF">
              <w:rPr>
                <w:rFonts w:cs="Arial"/>
                <w:szCs w:val="24"/>
              </w:rPr>
              <w:t>Office</w:t>
            </w:r>
          </w:p>
        </w:tc>
        <w:tc>
          <w:tcPr>
            <w:tcW w:w="6570" w:type="dxa"/>
            <w:tcBorders>
              <w:top w:val="single" w:sz="4" w:space="0" w:color="auto"/>
            </w:tcBorders>
            <w:shd w:val="clear" w:color="auto" w:fill="auto"/>
          </w:tcPr>
          <w:p w14:paraId="156B72D0" w14:textId="77777777" w:rsidR="00B966C8" w:rsidRPr="00B966C8" w:rsidRDefault="00B966C8" w:rsidP="00437FA2">
            <w:pPr>
              <w:spacing w:before="120" w:after="120"/>
              <w:rPr>
                <w:rFonts w:cs="Arial"/>
                <w:szCs w:val="24"/>
              </w:rPr>
            </w:pPr>
            <w:r w:rsidRPr="00B966C8">
              <w:rPr>
                <w:rFonts w:cs="Arial"/>
                <w:szCs w:val="24"/>
              </w:rPr>
              <w:t>Please provide the name of</w:t>
            </w:r>
            <w:r w:rsidR="00D250BC">
              <w:rPr>
                <w:rFonts w:cs="Arial"/>
                <w:szCs w:val="24"/>
              </w:rPr>
              <w:t xml:space="preserve"> the </w:t>
            </w:r>
            <w:r w:rsidR="005C5236">
              <w:rPr>
                <w:rFonts w:cs="Arial"/>
                <w:szCs w:val="24"/>
              </w:rPr>
              <w:t>P</w:t>
            </w:r>
            <w:r w:rsidR="00D250BC">
              <w:rPr>
                <w:rFonts w:cs="Arial"/>
                <w:szCs w:val="24"/>
              </w:rPr>
              <w:t xml:space="preserve">roject </w:t>
            </w:r>
            <w:r w:rsidR="005C5236">
              <w:rPr>
                <w:rFonts w:cs="Arial"/>
                <w:szCs w:val="24"/>
              </w:rPr>
              <w:t>D</w:t>
            </w:r>
            <w:r w:rsidR="00D250BC">
              <w:rPr>
                <w:rFonts w:cs="Arial"/>
                <w:szCs w:val="24"/>
              </w:rPr>
              <w:t>irector’s office.</w:t>
            </w:r>
          </w:p>
        </w:tc>
      </w:tr>
      <w:tr w:rsidR="00B966C8" w:rsidRPr="00730AF6" w14:paraId="513AD6CE" w14:textId="77777777" w:rsidTr="00702249">
        <w:trPr>
          <w:cantSplit/>
          <w:trHeight w:val="20"/>
        </w:trPr>
        <w:tc>
          <w:tcPr>
            <w:tcW w:w="2942" w:type="dxa"/>
            <w:tcBorders>
              <w:top w:val="single" w:sz="4" w:space="0" w:color="auto"/>
            </w:tcBorders>
            <w:shd w:val="clear" w:color="auto" w:fill="auto"/>
          </w:tcPr>
          <w:p w14:paraId="3148432A" w14:textId="5094F336" w:rsidR="00B966C8" w:rsidRPr="00B02ADF" w:rsidRDefault="00B02ADF" w:rsidP="00B02ADF">
            <w:pPr>
              <w:spacing w:before="120" w:after="120"/>
              <w:rPr>
                <w:rFonts w:cs="Arial"/>
                <w:szCs w:val="24"/>
              </w:rPr>
            </w:pPr>
            <w:r>
              <w:rPr>
                <w:rFonts w:cs="Arial"/>
                <w:szCs w:val="24"/>
              </w:rPr>
              <w:t xml:space="preserve">Project Director </w:t>
            </w:r>
            <w:r w:rsidR="00B966C8" w:rsidRPr="00B02ADF">
              <w:rPr>
                <w:rFonts w:cs="Arial"/>
                <w:szCs w:val="24"/>
              </w:rPr>
              <w:t>Telephone</w:t>
            </w:r>
            <w:r w:rsidR="00C005BF" w:rsidRPr="00B02ADF">
              <w:rPr>
                <w:rFonts w:cs="Arial"/>
                <w:szCs w:val="24"/>
              </w:rPr>
              <w:t xml:space="preserve"> Number</w:t>
            </w:r>
          </w:p>
        </w:tc>
        <w:tc>
          <w:tcPr>
            <w:tcW w:w="6570" w:type="dxa"/>
            <w:tcBorders>
              <w:top w:val="single" w:sz="4" w:space="0" w:color="auto"/>
            </w:tcBorders>
            <w:shd w:val="clear" w:color="auto" w:fill="auto"/>
          </w:tcPr>
          <w:p w14:paraId="3C457F8B" w14:textId="77777777" w:rsidR="00B966C8" w:rsidRPr="00B966C8" w:rsidRDefault="00D250BC" w:rsidP="00437FA2">
            <w:pPr>
              <w:spacing w:before="120" w:after="120"/>
              <w:rPr>
                <w:rFonts w:cs="Arial"/>
                <w:szCs w:val="24"/>
              </w:rPr>
            </w:pPr>
            <w:r w:rsidRPr="00D250BC">
              <w:rPr>
                <w:rFonts w:cs="Arial"/>
                <w:szCs w:val="24"/>
              </w:rPr>
              <w:t>Please provide the Project Director’s telephone number. This number will be used to contact t</w:t>
            </w:r>
            <w:r>
              <w:rPr>
                <w:rFonts w:cs="Arial"/>
                <w:szCs w:val="24"/>
              </w:rPr>
              <w:t>he Project Director, if needed.</w:t>
            </w:r>
          </w:p>
        </w:tc>
      </w:tr>
      <w:tr w:rsidR="00F21EDB" w:rsidRPr="00730AF6" w14:paraId="6BA85CA9" w14:textId="77777777" w:rsidTr="00702249">
        <w:trPr>
          <w:cantSplit/>
          <w:trHeight w:val="20"/>
        </w:trPr>
        <w:tc>
          <w:tcPr>
            <w:tcW w:w="2942" w:type="dxa"/>
            <w:tcBorders>
              <w:top w:val="single" w:sz="4" w:space="0" w:color="auto"/>
            </w:tcBorders>
            <w:shd w:val="clear" w:color="auto" w:fill="auto"/>
          </w:tcPr>
          <w:p w14:paraId="23D9BDE7" w14:textId="77777777" w:rsidR="00F21EDB" w:rsidRPr="00C93EC7" w:rsidRDefault="00F21EDB" w:rsidP="003E7A3D">
            <w:pPr>
              <w:spacing w:before="120" w:after="120"/>
              <w:rPr>
                <w:rFonts w:cs="Arial"/>
                <w:szCs w:val="24"/>
              </w:rPr>
            </w:pPr>
            <w:r w:rsidRPr="00C93EC7">
              <w:rPr>
                <w:rFonts w:cs="Arial"/>
                <w:szCs w:val="24"/>
              </w:rPr>
              <w:lastRenderedPageBreak/>
              <w:t>Project Director Telephone Extension</w:t>
            </w:r>
          </w:p>
        </w:tc>
        <w:tc>
          <w:tcPr>
            <w:tcW w:w="6570" w:type="dxa"/>
            <w:tcBorders>
              <w:top w:val="single" w:sz="4" w:space="0" w:color="auto"/>
            </w:tcBorders>
            <w:shd w:val="clear" w:color="auto" w:fill="auto"/>
          </w:tcPr>
          <w:p w14:paraId="73570003" w14:textId="77777777" w:rsidR="00F21EDB" w:rsidRPr="00B966C8" w:rsidRDefault="00F21EDB" w:rsidP="003E7A3D">
            <w:pPr>
              <w:spacing w:before="120" w:after="120"/>
              <w:rPr>
                <w:rFonts w:cs="Arial"/>
                <w:szCs w:val="24"/>
              </w:rPr>
            </w:pPr>
            <w:r w:rsidRPr="00D250BC">
              <w:rPr>
                <w:rFonts w:cs="Arial"/>
                <w:szCs w:val="24"/>
              </w:rPr>
              <w:t xml:space="preserve">Please provide the Project Director’s telephone </w:t>
            </w:r>
            <w:r>
              <w:rPr>
                <w:rFonts w:cs="Arial"/>
                <w:szCs w:val="24"/>
              </w:rPr>
              <w:t>extension number, if necessary.</w:t>
            </w:r>
          </w:p>
        </w:tc>
      </w:tr>
      <w:tr w:rsidR="00F21EDB" w:rsidRPr="00730AF6" w14:paraId="01F24497" w14:textId="77777777" w:rsidTr="00702249">
        <w:trPr>
          <w:cantSplit/>
          <w:trHeight w:val="20"/>
        </w:trPr>
        <w:tc>
          <w:tcPr>
            <w:tcW w:w="2942" w:type="dxa"/>
            <w:tcBorders>
              <w:top w:val="single" w:sz="4" w:space="0" w:color="auto"/>
            </w:tcBorders>
            <w:shd w:val="clear" w:color="auto" w:fill="auto"/>
          </w:tcPr>
          <w:p w14:paraId="1F1C66BA" w14:textId="5B09709A" w:rsidR="00F21EDB" w:rsidRPr="00C93EC7" w:rsidRDefault="00F21EDB" w:rsidP="00C93EC7">
            <w:pPr>
              <w:spacing w:before="120" w:after="120"/>
              <w:rPr>
                <w:rFonts w:cs="Arial"/>
                <w:szCs w:val="24"/>
              </w:rPr>
            </w:pPr>
            <w:r w:rsidRPr="00C93EC7">
              <w:rPr>
                <w:rFonts w:cs="Arial"/>
                <w:szCs w:val="24"/>
              </w:rPr>
              <w:t>Project Director Email Address</w:t>
            </w:r>
          </w:p>
        </w:tc>
        <w:tc>
          <w:tcPr>
            <w:tcW w:w="6570" w:type="dxa"/>
            <w:tcBorders>
              <w:top w:val="single" w:sz="4" w:space="0" w:color="auto"/>
            </w:tcBorders>
            <w:shd w:val="clear" w:color="auto" w:fill="auto"/>
          </w:tcPr>
          <w:p w14:paraId="1F9DC098" w14:textId="77777777" w:rsidR="00F21EDB" w:rsidRPr="00B966C8" w:rsidRDefault="00F21EDB" w:rsidP="003E7A3D">
            <w:pPr>
              <w:spacing w:before="120" w:after="120"/>
              <w:rPr>
                <w:rFonts w:cs="Arial"/>
                <w:szCs w:val="24"/>
              </w:rPr>
            </w:pPr>
            <w:r w:rsidRPr="00D250BC">
              <w:rPr>
                <w:rFonts w:cs="Arial"/>
                <w:szCs w:val="24"/>
              </w:rPr>
              <w:t>Please provide the Project Director’s email address. Most communication with the grantee will be through email, so please ensure the email address is correctly inputted.</w:t>
            </w:r>
          </w:p>
        </w:tc>
      </w:tr>
    </w:tbl>
    <w:p w14:paraId="36A6C691" w14:textId="5A77A7B6" w:rsidR="00B02ADF" w:rsidRPr="00366FA0" w:rsidRDefault="00B02ADF" w:rsidP="00C93EC7">
      <w:pPr>
        <w:pStyle w:val="Heading5"/>
      </w:pPr>
      <w:r>
        <w:t>Lead Applicant Address</w:t>
      </w:r>
      <w:r w:rsidRPr="00366FA0">
        <w:t xml:space="preserve"> </w:t>
      </w:r>
    </w:p>
    <w:tbl>
      <w:tblPr>
        <w:tblStyle w:val="TableGrid"/>
        <w:tblW w:w="0" w:type="auto"/>
        <w:tblLook w:val="0620" w:firstRow="1" w:lastRow="0" w:firstColumn="0" w:lastColumn="0" w:noHBand="1" w:noVBand="1"/>
        <w:tblDescription w:val="Lead Applicant Address"/>
      </w:tblPr>
      <w:tblGrid>
        <w:gridCol w:w="2875"/>
        <w:gridCol w:w="6475"/>
      </w:tblGrid>
      <w:tr w:rsidR="00B02ADF" w14:paraId="386955C6" w14:textId="77777777" w:rsidTr="00702249">
        <w:trPr>
          <w:cantSplit/>
          <w:tblHeader/>
        </w:trPr>
        <w:tc>
          <w:tcPr>
            <w:tcW w:w="2875" w:type="dxa"/>
            <w:shd w:val="clear" w:color="auto" w:fill="D9D9D9" w:themeFill="background1" w:themeFillShade="D9"/>
          </w:tcPr>
          <w:p w14:paraId="2F9BF651" w14:textId="3F70CE19" w:rsidR="00B02ADF" w:rsidRDefault="00B02ADF" w:rsidP="00B02ADF">
            <w:pPr>
              <w:spacing w:before="120" w:after="120"/>
              <w:jc w:val="center"/>
              <w:rPr>
                <w:rFonts w:cs="Arial"/>
                <w:b/>
                <w:bCs/>
                <w:szCs w:val="24"/>
              </w:rPr>
            </w:pPr>
            <w:r w:rsidRPr="00AF2839">
              <w:rPr>
                <w:b/>
              </w:rPr>
              <w:t>Application Field</w:t>
            </w:r>
          </w:p>
        </w:tc>
        <w:tc>
          <w:tcPr>
            <w:tcW w:w="6475" w:type="dxa"/>
            <w:shd w:val="clear" w:color="auto" w:fill="D9D9D9" w:themeFill="background1" w:themeFillShade="D9"/>
          </w:tcPr>
          <w:p w14:paraId="0D4558B8" w14:textId="659F6507" w:rsidR="00B02ADF" w:rsidRDefault="00B02ADF" w:rsidP="00B02ADF">
            <w:pPr>
              <w:spacing w:before="120" w:after="120"/>
              <w:jc w:val="center"/>
              <w:rPr>
                <w:rFonts w:cs="Arial"/>
                <w:b/>
                <w:bCs/>
                <w:szCs w:val="24"/>
              </w:rPr>
            </w:pPr>
            <w:r w:rsidRPr="00AF2839">
              <w:rPr>
                <w:b/>
              </w:rPr>
              <w:t>Instructions</w:t>
            </w:r>
          </w:p>
        </w:tc>
      </w:tr>
      <w:tr w:rsidR="00B02ADF" w14:paraId="66CF92AA" w14:textId="77777777" w:rsidTr="00702249">
        <w:trPr>
          <w:cantSplit/>
          <w:tblHeader/>
        </w:trPr>
        <w:tc>
          <w:tcPr>
            <w:tcW w:w="2875" w:type="dxa"/>
          </w:tcPr>
          <w:p w14:paraId="3C0C58FC" w14:textId="4D2009D9" w:rsidR="00B02ADF" w:rsidRPr="00B02ADF" w:rsidRDefault="00B02ADF" w:rsidP="00B02ADF">
            <w:pPr>
              <w:spacing w:before="120" w:after="120"/>
              <w:rPr>
                <w:rFonts w:cs="Arial"/>
                <w:bCs/>
                <w:szCs w:val="24"/>
              </w:rPr>
            </w:pPr>
            <w:r w:rsidRPr="00B02ADF">
              <w:rPr>
                <w:rFonts w:cs="Arial"/>
                <w:bCs/>
                <w:szCs w:val="24"/>
              </w:rPr>
              <w:t>Lead Applicant Name</w:t>
            </w:r>
          </w:p>
        </w:tc>
        <w:tc>
          <w:tcPr>
            <w:tcW w:w="6475" w:type="dxa"/>
          </w:tcPr>
          <w:p w14:paraId="40BE7D09" w14:textId="62162E68" w:rsidR="00B02ADF" w:rsidRDefault="00B02ADF" w:rsidP="00B02ADF">
            <w:pPr>
              <w:spacing w:before="120" w:after="120"/>
              <w:rPr>
                <w:rFonts w:cs="Arial"/>
                <w:b/>
                <w:bCs/>
                <w:szCs w:val="24"/>
              </w:rPr>
            </w:pPr>
            <w:r w:rsidRPr="00AF2839">
              <w:rPr>
                <w:szCs w:val="24"/>
              </w:rPr>
              <w:t>Please provide the name of the</w:t>
            </w:r>
            <w:r>
              <w:rPr>
                <w:szCs w:val="24"/>
              </w:rPr>
              <w:t xml:space="preserve"> LEA</w:t>
            </w:r>
            <w:r w:rsidRPr="00AF2839">
              <w:rPr>
                <w:szCs w:val="24"/>
              </w:rPr>
              <w:t xml:space="preserve"> applying for the grant.</w:t>
            </w:r>
          </w:p>
        </w:tc>
      </w:tr>
      <w:tr w:rsidR="00B02ADF" w14:paraId="65B5AE99" w14:textId="77777777" w:rsidTr="00702249">
        <w:trPr>
          <w:cantSplit/>
          <w:tblHeader/>
        </w:trPr>
        <w:tc>
          <w:tcPr>
            <w:tcW w:w="2875" w:type="dxa"/>
          </w:tcPr>
          <w:p w14:paraId="443A8024" w14:textId="20D74477" w:rsidR="00B02ADF" w:rsidRDefault="00F95C25" w:rsidP="00B02ADF">
            <w:pPr>
              <w:spacing w:before="120" w:after="120"/>
              <w:rPr>
                <w:rFonts w:cs="Arial"/>
                <w:b/>
                <w:bCs/>
                <w:szCs w:val="24"/>
              </w:rPr>
            </w:pPr>
            <w:r>
              <w:rPr>
                <w:rFonts w:cs="Arial"/>
                <w:szCs w:val="24"/>
              </w:rPr>
              <w:t xml:space="preserve">Lead Applicant </w:t>
            </w:r>
            <w:r w:rsidR="00B02ADF" w:rsidRPr="00730AF6">
              <w:rPr>
                <w:rFonts w:cs="Arial"/>
                <w:szCs w:val="24"/>
              </w:rPr>
              <w:t>Street Address</w:t>
            </w:r>
            <w:r w:rsidR="00B02ADF" w:rsidRPr="00730AF6">
              <w:rPr>
                <w:rFonts w:cs="Arial"/>
                <w:szCs w:val="24"/>
              </w:rPr>
              <w:br/>
              <w:t>(Ex: 1430 N Street)</w:t>
            </w:r>
          </w:p>
        </w:tc>
        <w:tc>
          <w:tcPr>
            <w:tcW w:w="6475" w:type="dxa"/>
          </w:tcPr>
          <w:p w14:paraId="1352ACA3" w14:textId="4C424430" w:rsidR="00B02ADF" w:rsidRDefault="00B02ADF" w:rsidP="00B02ADF">
            <w:pPr>
              <w:spacing w:before="120" w:after="120"/>
              <w:rPr>
                <w:rFonts w:cs="Arial"/>
                <w:b/>
                <w:bCs/>
                <w:szCs w:val="24"/>
              </w:rPr>
            </w:pPr>
            <w:r w:rsidRPr="00730AF6">
              <w:rPr>
                <w:rFonts w:cs="Arial"/>
                <w:szCs w:val="24"/>
              </w:rPr>
              <w:t>Please provide the street address o</w:t>
            </w:r>
            <w:r>
              <w:rPr>
                <w:rFonts w:cs="Arial"/>
                <w:szCs w:val="24"/>
              </w:rPr>
              <w:t>f the applying entity.</w:t>
            </w:r>
          </w:p>
        </w:tc>
      </w:tr>
      <w:tr w:rsidR="00B02ADF" w14:paraId="3B457385" w14:textId="77777777" w:rsidTr="00702249">
        <w:trPr>
          <w:cantSplit/>
          <w:tblHeader/>
        </w:trPr>
        <w:tc>
          <w:tcPr>
            <w:tcW w:w="2875" w:type="dxa"/>
          </w:tcPr>
          <w:p w14:paraId="05F80511" w14:textId="1BCCB6D6" w:rsidR="00B02ADF" w:rsidRDefault="00F95C25" w:rsidP="00B02ADF">
            <w:pPr>
              <w:spacing w:before="120" w:after="120"/>
              <w:rPr>
                <w:rFonts w:cs="Arial"/>
                <w:b/>
                <w:bCs/>
                <w:szCs w:val="24"/>
              </w:rPr>
            </w:pPr>
            <w:r>
              <w:rPr>
                <w:rFonts w:cs="Arial"/>
                <w:szCs w:val="24"/>
              </w:rPr>
              <w:t xml:space="preserve">Lead Applicant </w:t>
            </w:r>
            <w:r w:rsidR="00B02ADF" w:rsidRPr="00730AF6">
              <w:rPr>
                <w:rFonts w:cs="Arial"/>
                <w:szCs w:val="24"/>
              </w:rPr>
              <w:t>City</w:t>
            </w:r>
          </w:p>
        </w:tc>
        <w:tc>
          <w:tcPr>
            <w:tcW w:w="6475" w:type="dxa"/>
          </w:tcPr>
          <w:p w14:paraId="16E71CB8" w14:textId="71F52735" w:rsidR="00B02ADF" w:rsidRDefault="00B02ADF" w:rsidP="00B02ADF">
            <w:pPr>
              <w:spacing w:before="120" w:after="120"/>
              <w:rPr>
                <w:rFonts w:cs="Arial"/>
                <w:b/>
                <w:bCs/>
                <w:szCs w:val="24"/>
              </w:rPr>
            </w:pPr>
            <w:r w:rsidRPr="00730AF6">
              <w:rPr>
                <w:rFonts w:cs="Arial"/>
                <w:szCs w:val="24"/>
              </w:rPr>
              <w:t>Please provide the city where the applying entity is located.</w:t>
            </w:r>
          </w:p>
        </w:tc>
      </w:tr>
      <w:tr w:rsidR="00B02ADF" w14:paraId="06338A86" w14:textId="77777777" w:rsidTr="00702249">
        <w:trPr>
          <w:cantSplit/>
          <w:tblHeader/>
        </w:trPr>
        <w:tc>
          <w:tcPr>
            <w:tcW w:w="2875" w:type="dxa"/>
          </w:tcPr>
          <w:p w14:paraId="726D8364" w14:textId="57274041" w:rsidR="00B02ADF" w:rsidRDefault="00F95C25" w:rsidP="00B02ADF">
            <w:pPr>
              <w:spacing w:before="120" w:after="120"/>
              <w:rPr>
                <w:rFonts w:cs="Arial"/>
                <w:b/>
                <w:bCs/>
                <w:szCs w:val="24"/>
              </w:rPr>
            </w:pPr>
            <w:r>
              <w:rPr>
                <w:rFonts w:cs="Arial"/>
                <w:szCs w:val="24"/>
              </w:rPr>
              <w:t xml:space="preserve">Lead Applicant </w:t>
            </w:r>
            <w:r w:rsidR="00B02ADF" w:rsidRPr="00730AF6">
              <w:rPr>
                <w:rFonts w:cs="Arial"/>
                <w:szCs w:val="24"/>
              </w:rPr>
              <w:t>State</w:t>
            </w:r>
            <w:r w:rsidR="00B02ADF" w:rsidRPr="00730AF6">
              <w:rPr>
                <w:rFonts w:cs="Arial"/>
                <w:szCs w:val="24"/>
              </w:rPr>
              <w:br/>
              <w:t>(Ex: CA)</w:t>
            </w:r>
          </w:p>
        </w:tc>
        <w:tc>
          <w:tcPr>
            <w:tcW w:w="6475" w:type="dxa"/>
          </w:tcPr>
          <w:p w14:paraId="6E567781" w14:textId="195FB8F3" w:rsidR="00B02ADF" w:rsidRDefault="00B02ADF" w:rsidP="00B02ADF">
            <w:pPr>
              <w:spacing w:before="120" w:after="120"/>
              <w:rPr>
                <w:rFonts w:cs="Arial"/>
                <w:b/>
                <w:bCs/>
                <w:szCs w:val="24"/>
              </w:rPr>
            </w:pPr>
            <w:r w:rsidRPr="00730AF6">
              <w:rPr>
                <w:rFonts w:cs="Arial"/>
                <w:szCs w:val="24"/>
              </w:rPr>
              <w:t>Please provide the state where the applying entity is located.</w:t>
            </w:r>
          </w:p>
        </w:tc>
      </w:tr>
      <w:tr w:rsidR="00B02ADF" w14:paraId="41F68ED2" w14:textId="77777777" w:rsidTr="00702249">
        <w:trPr>
          <w:cantSplit/>
          <w:tblHeader/>
        </w:trPr>
        <w:tc>
          <w:tcPr>
            <w:tcW w:w="2875" w:type="dxa"/>
          </w:tcPr>
          <w:p w14:paraId="0255F77F" w14:textId="6D0AE9D3" w:rsidR="00B02ADF" w:rsidRDefault="00F95C25" w:rsidP="00B02ADF">
            <w:pPr>
              <w:spacing w:before="120" w:after="120"/>
              <w:rPr>
                <w:rFonts w:cs="Arial"/>
                <w:b/>
                <w:bCs/>
                <w:szCs w:val="24"/>
              </w:rPr>
            </w:pPr>
            <w:r>
              <w:rPr>
                <w:rFonts w:cs="Arial"/>
                <w:szCs w:val="24"/>
              </w:rPr>
              <w:t xml:space="preserve">Lead Applicant </w:t>
            </w:r>
            <w:r w:rsidR="00B02ADF" w:rsidRPr="00730AF6">
              <w:rPr>
                <w:rFonts w:cs="Arial"/>
                <w:szCs w:val="24"/>
              </w:rPr>
              <w:t>Zip Code</w:t>
            </w:r>
            <w:r w:rsidR="00B02ADF">
              <w:rPr>
                <w:rFonts w:cs="Arial"/>
                <w:szCs w:val="24"/>
              </w:rPr>
              <w:br/>
            </w:r>
            <w:r w:rsidR="00B02ADF" w:rsidRPr="00CA716D">
              <w:rPr>
                <w:rFonts w:cs="Arial"/>
                <w:szCs w:val="24"/>
              </w:rPr>
              <w:t>(5-digit: 00000)</w:t>
            </w:r>
          </w:p>
        </w:tc>
        <w:tc>
          <w:tcPr>
            <w:tcW w:w="6475" w:type="dxa"/>
          </w:tcPr>
          <w:p w14:paraId="37047B2F" w14:textId="26E9CC4B" w:rsidR="00B02ADF" w:rsidRDefault="00B02ADF" w:rsidP="00B02ADF">
            <w:pPr>
              <w:spacing w:before="120" w:after="120"/>
              <w:rPr>
                <w:rFonts w:cs="Arial"/>
                <w:b/>
                <w:bCs/>
                <w:szCs w:val="24"/>
              </w:rPr>
            </w:pPr>
            <w:r w:rsidRPr="00730AF6">
              <w:rPr>
                <w:rFonts w:cs="Arial"/>
                <w:szCs w:val="24"/>
              </w:rPr>
              <w:t>Please provide the zip code where the applying entity is located.</w:t>
            </w:r>
          </w:p>
        </w:tc>
      </w:tr>
    </w:tbl>
    <w:p w14:paraId="1CF778E4" w14:textId="77777777" w:rsidR="00B02ADF" w:rsidRDefault="00B02ADF" w:rsidP="00C93EC7">
      <w:pPr>
        <w:pStyle w:val="Heading5"/>
      </w:pPr>
      <w:r w:rsidRPr="00B02ADF">
        <w:t>Fiscal Agent Information (optional)</w:t>
      </w:r>
    </w:p>
    <w:p w14:paraId="7ECC4B91" w14:textId="73CBDEFB" w:rsidR="00B02ADF" w:rsidRDefault="00B02ADF" w:rsidP="00F95C25">
      <w:pPr>
        <w:spacing w:before="240"/>
        <w:rPr>
          <w:rFonts w:cs="Arial"/>
          <w:szCs w:val="24"/>
        </w:rPr>
      </w:pPr>
      <w:r w:rsidRPr="00730AF6">
        <w:rPr>
          <w:rFonts w:cs="Arial"/>
          <w:szCs w:val="24"/>
        </w:rPr>
        <w:t xml:space="preserve">Please list the name of the </w:t>
      </w:r>
      <w:r>
        <w:rPr>
          <w:rFonts w:cs="Arial"/>
          <w:szCs w:val="24"/>
        </w:rPr>
        <w:t>superintendent,</w:t>
      </w:r>
      <w:r w:rsidRPr="00730AF6">
        <w:rPr>
          <w:rFonts w:cs="Arial"/>
          <w:szCs w:val="24"/>
        </w:rPr>
        <w:t xml:space="preserve"> who will serve as the Fiscal Agent of the grant. This person will be included on communications regarding budget and accounting for the grant.</w:t>
      </w:r>
    </w:p>
    <w:tbl>
      <w:tblPr>
        <w:tblStyle w:val="TableGrid"/>
        <w:tblW w:w="0" w:type="auto"/>
        <w:tblLook w:val="04A0" w:firstRow="1" w:lastRow="0" w:firstColumn="1" w:lastColumn="0" w:noHBand="0" w:noVBand="1"/>
        <w:tblDescription w:val="Fiscal Agent Information"/>
      </w:tblPr>
      <w:tblGrid>
        <w:gridCol w:w="2875"/>
        <w:gridCol w:w="6475"/>
      </w:tblGrid>
      <w:tr w:rsidR="00F95C25" w14:paraId="3D08B84F" w14:textId="77777777" w:rsidTr="00702249">
        <w:trPr>
          <w:cantSplit/>
          <w:tblHeader/>
        </w:trPr>
        <w:tc>
          <w:tcPr>
            <w:tcW w:w="2875" w:type="dxa"/>
            <w:shd w:val="clear" w:color="auto" w:fill="D9D9D9" w:themeFill="background1" w:themeFillShade="D9"/>
          </w:tcPr>
          <w:p w14:paraId="29079356" w14:textId="02E6ED66" w:rsidR="00F95C25" w:rsidRDefault="00F95C25" w:rsidP="00F95C25">
            <w:pPr>
              <w:spacing w:before="120" w:after="120"/>
              <w:jc w:val="center"/>
              <w:rPr>
                <w:rFonts w:cs="Arial"/>
                <w:szCs w:val="24"/>
              </w:rPr>
            </w:pPr>
            <w:r w:rsidRPr="00AF2839">
              <w:rPr>
                <w:b/>
              </w:rPr>
              <w:t>Application Field</w:t>
            </w:r>
          </w:p>
        </w:tc>
        <w:tc>
          <w:tcPr>
            <w:tcW w:w="6475" w:type="dxa"/>
            <w:shd w:val="clear" w:color="auto" w:fill="D9D9D9" w:themeFill="background1" w:themeFillShade="D9"/>
          </w:tcPr>
          <w:p w14:paraId="22AC0A02" w14:textId="702E0F89" w:rsidR="00F95C25" w:rsidRDefault="00F95C25" w:rsidP="00F95C25">
            <w:pPr>
              <w:spacing w:before="120" w:after="120"/>
              <w:jc w:val="center"/>
              <w:rPr>
                <w:rFonts w:cs="Arial"/>
                <w:szCs w:val="24"/>
              </w:rPr>
            </w:pPr>
            <w:r w:rsidRPr="00AF2839">
              <w:rPr>
                <w:b/>
              </w:rPr>
              <w:t>Instructions</w:t>
            </w:r>
          </w:p>
        </w:tc>
      </w:tr>
      <w:tr w:rsidR="00F95C25" w14:paraId="33DD726F" w14:textId="77777777" w:rsidTr="00C93EC7">
        <w:trPr>
          <w:cantSplit/>
        </w:trPr>
        <w:tc>
          <w:tcPr>
            <w:tcW w:w="2875" w:type="dxa"/>
          </w:tcPr>
          <w:p w14:paraId="1293706A" w14:textId="331386C2" w:rsidR="00F95C25" w:rsidRDefault="00F95C25" w:rsidP="00F95C25">
            <w:pPr>
              <w:spacing w:before="120" w:after="120"/>
              <w:rPr>
                <w:rFonts w:cs="Arial"/>
                <w:szCs w:val="24"/>
              </w:rPr>
            </w:pPr>
            <w:r>
              <w:rPr>
                <w:rFonts w:cs="Arial"/>
                <w:szCs w:val="24"/>
              </w:rPr>
              <w:t xml:space="preserve">Fiscal Agent </w:t>
            </w:r>
            <w:r w:rsidRPr="00730AF6">
              <w:rPr>
                <w:rFonts w:cs="Arial"/>
                <w:szCs w:val="24"/>
              </w:rPr>
              <w:t>First Name</w:t>
            </w:r>
          </w:p>
        </w:tc>
        <w:tc>
          <w:tcPr>
            <w:tcW w:w="6475" w:type="dxa"/>
          </w:tcPr>
          <w:p w14:paraId="3D4C5173" w14:textId="66A245B4" w:rsidR="00F95C25" w:rsidRDefault="00F95C25" w:rsidP="00F95C25">
            <w:pPr>
              <w:spacing w:before="120" w:after="120"/>
              <w:rPr>
                <w:rFonts w:cs="Arial"/>
                <w:szCs w:val="24"/>
              </w:rPr>
            </w:pPr>
            <w:r>
              <w:rPr>
                <w:rFonts w:cs="Arial"/>
                <w:szCs w:val="24"/>
              </w:rPr>
              <w:t>Please provide the first name of the Fiscal Agent.</w:t>
            </w:r>
          </w:p>
        </w:tc>
      </w:tr>
      <w:tr w:rsidR="00F95C25" w14:paraId="2F628CE4" w14:textId="77777777" w:rsidTr="00C93EC7">
        <w:trPr>
          <w:cantSplit/>
        </w:trPr>
        <w:tc>
          <w:tcPr>
            <w:tcW w:w="2875" w:type="dxa"/>
          </w:tcPr>
          <w:p w14:paraId="517BD501" w14:textId="5565CD27" w:rsidR="00F95C25" w:rsidRDefault="00F95C25" w:rsidP="00F95C25">
            <w:pPr>
              <w:spacing w:before="120" w:after="120"/>
              <w:rPr>
                <w:rFonts w:cs="Arial"/>
                <w:szCs w:val="24"/>
              </w:rPr>
            </w:pPr>
            <w:r>
              <w:rPr>
                <w:rFonts w:cs="Arial"/>
                <w:szCs w:val="24"/>
              </w:rPr>
              <w:t xml:space="preserve">Fiscal Agent </w:t>
            </w:r>
            <w:r w:rsidRPr="00730AF6">
              <w:rPr>
                <w:rFonts w:cs="Arial"/>
                <w:szCs w:val="24"/>
              </w:rPr>
              <w:t>Last Name</w:t>
            </w:r>
          </w:p>
        </w:tc>
        <w:tc>
          <w:tcPr>
            <w:tcW w:w="6475" w:type="dxa"/>
          </w:tcPr>
          <w:p w14:paraId="16A7688C" w14:textId="7AC521E5" w:rsidR="00F95C25" w:rsidRDefault="00F95C25" w:rsidP="00F95C25">
            <w:pPr>
              <w:spacing w:before="120" w:after="120"/>
              <w:rPr>
                <w:rFonts w:cs="Arial"/>
                <w:szCs w:val="24"/>
              </w:rPr>
            </w:pPr>
            <w:r>
              <w:rPr>
                <w:rFonts w:cs="Arial"/>
                <w:szCs w:val="24"/>
              </w:rPr>
              <w:t>Please provide the last name of the Fiscal Agent.</w:t>
            </w:r>
          </w:p>
        </w:tc>
      </w:tr>
      <w:tr w:rsidR="00F95C25" w14:paraId="21290877" w14:textId="77777777" w:rsidTr="00C93EC7">
        <w:trPr>
          <w:cantSplit/>
        </w:trPr>
        <w:tc>
          <w:tcPr>
            <w:tcW w:w="2875" w:type="dxa"/>
          </w:tcPr>
          <w:p w14:paraId="72C3CBFC" w14:textId="3D7C43BC" w:rsidR="00F95C25" w:rsidRDefault="00F95C25" w:rsidP="00F95C25">
            <w:pPr>
              <w:spacing w:before="120" w:after="120"/>
              <w:rPr>
                <w:rFonts w:cs="Arial"/>
                <w:szCs w:val="24"/>
              </w:rPr>
            </w:pPr>
            <w:r>
              <w:rPr>
                <w:rFonts w:cs="Arial"/>
                <w:szCs w:val="24"/>
              </w:rPr>
              <w:t xml:space="preserve">Fiscal Agent </w:t>
            </w:r>
            <w:r w:rsidRPr="00730AF6">
              <w:rPr>
                <w:rFonts w:cs="Arial"/>
                <w:szCs w:val="24"/>
              </w:rPr>
              <w:t>Title</w:t>
            </w:r>
          </w:p>
        </w:tc>
        <w:tc>
          <w:tcPr>
            <w:tcW w:w="6475" w:type="dxa"/>
          </w:tcPr>
          <w:p w14:paraId="5C75757C" w14:textId="0C684209" w:rsidR="00F95C25" w:rsidRDefault="00F95C25" w:rsidP="00F95C25">
            <w:pPr>
              <w:spacing w:before="120" w:after="120"/>
              <w:rPr>
                <w:rFonts w:cs="Arial"/>
                <w:szCs w:val="24"/>
              </w:rPr>
            </w:pPr>
            <w:r>
              <w:rPr>
                <w:rFonts w:cs="Arial"/>
                <w:szCs w:val="24"/>
              </w:rPr>
              <w:t>Please provide the title of the Fiscal Agent.</w:t>
            </w:r>
          </w:p>
        </w:tc>
      </w:tr>
      <w:tr w:rsidR="00F95C25" w14:paraId="0D43058B" w14:textId="77777777" w:rsidTr="00C93EC7">
        <w:trPr>
          <w:cantSplit/>
        </w:trPr>
        <w:tc>
          <w:tcPr>
            <w:tcW w:w="2875" w:type="dxa"/>
          </w:tcPr>
          <w:p w14:paraId="3E367EB8" w14:textId="633F52B8" w:rsidR="00F95C25" w:rsidRDefault="00F95C25" w:rsidP="00F95C25">
            <w:pPr>
              <w:spacing w:before="120" w:after="120"/>
              <w:rPr>
                <w:rFonts w:cs="Arial"/>
                <w:szCs w:val="24"/>
              </w:rPr>
            </w:pPr>
            <w:r>
              <w:rPr>
                <w:rFonts w:cs="Arial"/>
                <w:szCs w:val="24"/>
              </w:rPr>
              <w:t xml:space="preserve">Fiscal Agent </w:t>
            </w:r>
            <w:r w:rsidRPr="00730AF6">
              <w:rPr>
                <w:rFonts w:cs="Arial"/>
                <w:szCs w:val="24"/>
              </w:rPr>
              <w:t>Telephone Number</w:t>
            </w:r>
          </w:p>
        </w:tc>
        <w:tc>
          <w:tcPr>
            <w:tcW w:w="6475" w:type="dxa"/>
          </w:tcPr>
          <w:p w14:paraId="4BA8293E" w14:textId="779C3656" w:rsidR="00F95C25" w:rsidRDefault="00F95C25" w:rsidP="00F95C25">
            <w:pPr>
              <w:spacing w:before="120" w:after="120"/>
              <w:rPr>
                <w:rFonts w:cs="Arial"/>
                <w:szCs w:val="24"/>
              </w:rPr>
            </w:pPr>
            <w:r w:rsidRPr="00730AF6">
              <w:rPr>
                <w:rFonts w:cs="Arial"/>
                <w:szCs w:val="24"/>
              </w:rPr>
              <w:t>Please provide the Fiscal Agent’s telephone number.</w:t>
            </w:r>
          </w:p>
        </w:tc>
      </w:tr>
      <w:tr w:rsidR="00F95C25" w14:paraId="6D2297DF" w14:textId="77777777" w:rsidTr="00C93EC7">
        <w:trPr>
          <w:cantSplit/>
        </w:trPr>
        <w:tc>
          <w:tcPr>
            <w:tcW w:w="2875" w:type="dxa"/>
          </w:tcPr>
          <w:p w14:paraId="63401813" w14:textId="0F554B5E" w:rsidR="00F95C25" w:rsidRDefault="00F95C25" w:rsidP="00F95C25">
            <w:pPr>
              <w:spacing w:before="120" w:after="120"/>
              <w:rPr>
                <w:rFonts w:cs="Arial"/>
                <w:szCs w:val="24"/>
              </w:rPr>
            </w:pPr>
            <w:r>
              <w:rPr>
                <w:rFonts w:cs="Arial"/>
                <w:szCs w:val="24"/>
              </w:rPr>
              <w:lastRenderedPageBreak/>
              <w:t xml:space="preserve">Fiscal Agent </w:t>
            </w:r>
            <w:r w:rsidRPr="00730AF6">
              <w:rPr>
                <w:rFonts w:cs="Arial"/>
                <w:szCs w:val="24"/>
              </w:rPr>
              <w:t>Telephone Extension</w:t>
            </w:r>
          </w:p>
        </w:tc>
        <w:tc>
          <w:tcPr>
            <w:tcW w:w="6475" w:type="dxa"/>
          </w:tcPr>
          <w:p w14:paraId="2CE876CE" w14:textId="4ED930E8" w:rsidR="00F95C25" w:rsidRDefault="00F95C25" w:rsidP="00F95C25">
            <w:pPr>
              <w:spacing w:before="120" w:after="120"/>
              <w:rPr>
                <w:rFonts w:cs="Arial"/>
                <w:szCs w:val="24"/>
              </w:rPr>
            </w:pPr>
            <w:r w:rsidRPr="00730AF6">
              <w:rPr>
                <w:rFonts w:cs="Arial"/>
                <w:szCs w:val="24"/>
              </w:rPr>
              <w:t>Please provide the Fiscal Agent’s telephone extension number, if needed.</w:t>
            </w:r>
          </w:p>
        </w:tc>
      </w:tr>
      <w:tr w:rsidR="00F95C25" w14:paraId="7B6C87AF" w14:textId="77777777" w:rsidTr="00C93EC7">
        <w:trPr>
          <w:cantSplit/>
        </w:trPr>
        <w:tc>
          <w:tcPr>
            <w:tcW w:w="2875" w:type="dxa"/>
          </w:tcPr>
          <w:p w14:paraId="00756471" w14:textId="5639058D" w:rsidR="00F95C25" w:rsidRDefault="00F95C25" w:rsidP="00F95C25">
            <w:pPr>
              <w:spacing w:before="120" w:after="120"/>
              <w:rPr>
                <w:rFonts w:cs="Arial"/>
                <w:szCs w:val="24"/>
              </w:rPr>
            </w:pPr>
            <w:r>
              <w:rPr>
                <w:rFonts w:cs="Arial"/>
                <w:szCs w:val="24"/>
              </w:rPr>
              <w:t xml:space="preserve">Fiscal Agent </w:t>
            </w:r>
            <w:r w:rsidRPr="00730AF6">
              <w:rPr>
                <w:rFonts w:cs="Arial"/>
                <w:szCs w:val="24"/>
              </w:rPr>
              <w:t>Email Address</w:t>
            </w:r>
          </w:p>
        </w:tc>
        <w:tc>
          <w:tcPr>
            <w:tcW w:w="6475" w:type="dxa"/>
          </w:tcPr>
          <w:p w14:paraId="329AE5BE" w14:textId="1FB9D690" w:rsidR="00F95C25" w:rsidRDefault="00F95C25" w:rsidP="00F95C25">
            <w:pPr>
              <w:spacing w:before="120" w:after="120"/>
              <w:rPr>
                <w:rFonts w:cs="Arial"/>
                <w:szCs w:val="24"/>
              </w:rPr>
            </w:pPr>
            <w:r w:rsidRPr="00730AF6">
              <w:rPr>
                <w:rFonts w:cs="Arial"/>
                <w:szCs w:val="24"/>
              </w:rPr>
              <w:t>Please provide the Fiscal Agent’s email address.</w:t>
            </w:r>
          </w:p>
        </w:tc>
      </w:tr>
    </w:tbl>
    <w:p w14:paraId="6F3649E7" w14:textId="150432F4" w:rsidR="00B02ADF" w:rsidRPr="00F95C25" w:rsidRDefault="00F95C25" w:rsidP="00C93EC7">
      <w:pPr>
        <w:pStyle w:val="Heading5"/>
      </w:pPr>
      <w:r w:rsidRPr="00F95C25">
        <w:t>Partners</w:t>
      </w:r>
    </w:p>
    <w:tbl>
      <w:tblPr>
        <w:tblStyle w:val="PlainTable21"/>
        <w:tblW w:w="9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artners"/>
      </w:tblPr>
      <w:tblGrid>
        <w:gridCol w:w="2942"/>
        <w:gridCol w:w="6570"/>
      </w:tblGrid>
      <w:tr w:rsidR="005142B5" w:rsidRPr="00AF2839" w14:paraId="6F3EF25E" w14:textId="77777777" w:rsidTr="007022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42" w:type="dxa"/>
            <w:shd w:val="clear" w:color="auto" w:fill="D9D9D9" w:themeFill="background1" w:themeFillShade="D9"/>
          </w:tcPr>
          <w:p w14:paraId="32C12867" w14:textId="77777777" w:rsidR="005142B5" w:rsidRPr="005142B5" w:rsidRDefault="005142B5" w:rsidP="00437FA2">
            <w:pPr>
              <w:spacing w:before="120" w:after="120"/>
              <w:jc w:val="center"/>
              <w:rPr>
                <w:szCs w:val="24"/>
              </w:rPr>
            </w:pPr>
            <w:r w:rsidRPr="005142B5">
              <w:t>Application Field</w:t>
            </w:r>
          </w:p>
        </w:tc>
        <w:tc>
          <w:tcPr>
            <w:tcW w:w="6570" w:type="dxa"/>
            <w:shd w:val="clear" w:color="auto" w:fill="D9D9D9" w:themeFill="background1" w:themeFillShade="D9"/>
          </w:tcPr>
          <w:p w14:paraId="3737B59C" w14:textId="77777777" w:rsidR="005142B5" w:rsidRPr="005142B5" w:rsidRDefault="005142B5" w:rsidP="00437FA2">
            <w:pPr>
              <w:spacing w:before="120" w:after="120"/>
              <w:jc w:val="center"/>
              <w:cnfStyle w:val="100000000000" w:firstRow="1" w:lastRow="0" w:firstColumn="0" w:lastColumn="0" w:oddVBand="0" w:evenVBand="0" w:oddHBand="0" w:evenHBand="0" w:firstRowFirstColumn="0" w:firstRowLastColumn="0" w:lastRowFirstColumn="0" w:lastRowLastColumn="0"/>
              <w:rPr>
                <w:szCs w:val="24"/>
              </w:rPr>
            </w:pPr>
            <w:r w:rsidRPr="005142B5">
              <w:t>Instructions</w:t>
            </w:r>
          </w:p>
        </w:tc>
      </w:tr>
      <w:tr w:rsidR="005142B5" w:rsidRPr="00AF2839" w14:paraId="1581446D" w14:textId="77777777" w:rsidTr="00C93E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2" w:type="dxa"/>
          </w:tcPr>
          <w:p w14:paraId="5CE4F20A" w14:textId="77777777" w:rsidR="005142B5" w:rsidRPr="00C93EC7" w:rsidRDefault="005142B5" w:rsidP="00437FA2">
            <w:pPr>
              <w:spacing w:before="120" w:after="120"/>
              <w:rPr>
                <w:b w:val="0"/>
                <w:szCs w:val="24"/>
              </w:rPr>
            </w:pPr>
            <w:r w:rsidRPr="00C93EC7">
              <w:rPr>
                <w:b w:val="0"/>
                <w:szCs w:val="24"/>
              </w:rPr>
              <w:t xml:space="preserve">IHE or Nonprofit Organization Partners </w:t>
            </w:r>
          </w:p>
        </w:tc>
        <w:tc>
          <w:tcPr>
            <w:tcW w:w="6570" w:type="dxa"/>
          </w:tcPr>
          <w:p w14:paraId="56264711" w14:textId="77777777" w:rsidR="005142B5" w:rsidRPr="00C93EC7" w:rsidRDefault="005142B5" w:rsidP="00437FA2">
            <w:pPr>
              <w:spacing w:before="120" w:after="120"/>
              <w:cnfStyle w:val="000000100000" w:firstRow="0" w:lastRow="0" w:firstColumn="0" w:lastColumn="0" w:oddVBand="0" w:evenVBand="0" w:oddHBand="1" w:evenHBand="0" w:firstRowFirstColumn="0" w:firstRowLastColumn="0" w:lastRowFirstColumn="0" w:lastRowLastColumn="0"/>
              <w:rPr>
                <w:szCs w:val="24"/>
              </w:rPr>
            </w:pPr>
            <w:r w:rsidRPr="00C93EC7">
              <w:rPr>
                <w:szCs w:val="24"/>
              </w:rPr>
              <w:t xml:space="preserve">Please list any IHE or nonprofit organization partners for this grant. </w:t>
            </w:r>
          </w:p>
        </w:tc>
      </w:tr>
      <w:tr w:rsidR="005142B5" w:rsidRPr="00AF2839" w14:paraId="1C7F7532" w14:textId="77777777" w:rsidTr="00C93EC7">
        <w:trPr>
          <w:cantSplit/>
        </w:trPr>
        <w:tc>
          <w:tcPr>
            <w:cnfStyle w:val="001000000000" w:firstRow="0" w:lastRow="0" w:firstColumn="1" w:lastColumn="0" w:oddVBand="0" w:evenVBand="0" w:oddHBand="0" w:evenHBand="0" w:firstRowFirstColumn="0" w:firstRowLastColumn="0" w:lastRowFirstColumn="0" w:lastRowLastColumn="0"/>
            <w:tcW w:w="2942" w:type="dxa"/>
          </w:tcPr>
          <w:p w14:paraId="1B2AB6A2" w14:textId="77777777" w:rsidR="005142B5" w:rsidRPr="00C93EC7" w:rsidRDefault="005142B5" w:rsidP="00437FA2">
            <w:pPr>
              <w:spacing w:before="120" w:after="120"/>
              <w:rPr>
                <w:b w:val="0"/>
                <w:szCs w:val="24"/>
              </w:rPr>
            </w:pPr>
            <w:r w:rsidRPr="00C93EC7">
              <w:rPr>
                <w:b w:val="0"/>
                <w:szCs w:val="24"/>
              </w:rPr>
              <w:t>LEA Partners</w:t>
            </w:r>
          </w:p>
        </w:tc>
        <w:tc>
          <w:tcPr>
            <w:tcW w:w="6570" w:type="dxa"/>
          </w:tcPr>
          <w:p w14:paraId="50AD1EB2" w14:textId="77777777" w:rsidR="005142B5" w:rsidRPr="00C93EC7" w:rsidRDefault="005142B5" w:rsidP="00437FA2">
            <w:pPr>
              <w:spacing w:before="120" w:after="120"/>
              <w:cnfStyle w:val="000000000000" w:firstRow="0" w:lastRow="0" w:firstColumn="0" w:lastColumn="0" w:oddVBand="0" w:evenVBand="0" w:oddHBand="0" w:evenHBand="0" w:firstRowFirstColumn="0" w:firstRowLastColumn="0" w:lastRowFirstColumn="0" w:lastRowLastColumn="0"/>
              <w:rPr>
                <w:szCs w:val="24"/>
              </w:rPr>
            </w:pPr>
            <w:r w:rsidRPr="00C93EC7">
              <w:rPr>
                <w:szCs w:val="24"/>
              </w:rPr>
              <w:t xml:space="preserve">Please list any LEA partners for this grant. </w:t>
            </w:r>
          </w:p>
        </w:tc>
      </w:tr>
    </w:tbl>
    <w:p w14:paraId="60BFD388" w14:textId="77777777" w:rsidR="009E3B7F" w:rsidRPr="002E126B" w:rsidRDefault="0099432D" w:rsidP="00C93EC7">
      <w:pPr>
        <w:pStyle w:val="Heading4"/>
        <w:spacing w:before="240"/>
        <w:ind w:left="0"/>
      </w:pPr>
      <w:bookmarkStart w:id="102" w:name="_Toc83900993"/>
      <w:bookmarkStart w:id="103" w:name="_Toc86663645"/>
      <w:r>
        <w:t>Application Narrative</w:t>
      </w:r>
      <w:bookmarkEnd w:id="102"/>
      <w:bookmarkEnd w:id="103"/>
    </w:p>
    <w:tbl>
      <w:tblPr>
        <w:tblStyle w:val="GridTable41"/>
        <w:tblW w:w="9512" w:type="dxa"/>
        <w:tblLayout w:type="fixed"/>
        <w:tblLook w:val="0620" w:firstRow="1" w:lastRow="0" w:firstColumn="0" w:lastColumn="0" w:noHBand="1" w:noVBand="1"/>
        <w:tblDescription w:val="Application Narrative Table"/>
      </w:tblPr>
      <w:tblGrid>
        <w:gridCol w:w="2942"/>
        <w:gridCol w:w="6570"/>
      </w:tblGrid>
      <w:tr w:rsidR="00366FA0" w:rsidRPr="00366FA0" w14:paraId="128561D2" w14:textId="77777777" w:rsidTr="00C93EC7">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2F67A" w14:textId="77777777" w:rsidR="009E3B7F" w:rsidRPr="00366FA0" w:rsidRDefault="009E3B7F" w:rsidP="003F529F">
            <w:pPr>
              <w:spacing w:before="120" w:after="120"/>
              <w:jc w:val="center"/>
              <w:rPr>
                <w:b w:val="0"/>
                <w:color w:val="auto"/>
              </w:rPr>
            </w:pPr>
            <w:r w:rsidRPr="00366FA0">
              <w:rPr>
                <w:color w:val="auto"/>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679A3" w14:textId="77777777" w:rsidR="009E3B7F" w:rsidRPr="00366FA0" w:rsidRDefault="009E3B7F" w:rsidP="003F529F">
            <w:pPr>
              <w:spacing w:before="120" w:after="120"/>
              <w:jc w:val="center"/>
              <w:rPr>
                <w:b w:val="0"/>
                <w:color w:val="auto"/>
              </w:rPr>
            </w:pPr>
            <w:r w:rsidRPr="00366FA0">
              <w:rPr>
                <w:color w:val="auto"/>
              </w:rPr>
              <w:t>Instructions</w:t>
            </w:r>
          </w:p>
        </w:tc>
      </w:tr>
      <w:tr w:rsidR="00D1379C" w:rsidRPr="00AF2839" w14:paraId="3FABFA1A" w14:textId="77777777" w:rsidTr="00C93EC7">
        <w:trPr>
          <w:cantSplit/>
        </w:trPr>
        <w:tc>
          <w:tcPr>
            <w:tcW w:w="2942" w:type="dxa"/>
            <w:tcBorders>
              <w:top w:val="single" w:sz="4" w:space="0" w:color="auto"/>
            </w:tcBorders>
          </w:tcPr>
          <w:p w14:paraId="22067594" w14:textId="77777777" w:rsidR="00D1379C" w:rsidRPr="00AF2839" w:rsidRDefault="00D1379C" w:rsidP="00437FA2">
            <w:pPr>
              <w:spacing w:before="120" w:after="120"/>
              <w:rPr>
                <w:b/>
                <w:szCs w:val="24"/>
              </w:rPr>
            </w:pPr>
            <w:r>
              <w:rPr>
                <w:b/>
                <w:szCs w:val="24"/>
              </w:rPr>
              <w:t>Capacity and Program Facilitation</w:t>
            </w:r>
          </w:p>
          <w:p w14:paraId="6CD982C2" w14:textId="77777777" w:rsidR="00D1379C" w:rsidRPr="00AF2839" w:rsidRDefault="00D1379C" w:rsidP="00437FA2">
            <w:pPr>
              <w:spacing w:before="120" w:after="120"/>
            </w:pPr>
            <w:r>
              <w:rPr>
                <w:szCs w:val="24"/>
              </w:rPr>
              <w:t>(</w:t>
            </w:r>
            <w:proofErr w:type="gramStart"/>
            <w:r>
              <w:rPr>
                <w:szCs w:val="24"/>
              </w:rPr>
              <w:t>2,5</w:t>
            </w:r>
            <w:r w:rsidRPr="00AF2839">
              <w:rPr>
                <w:szCs w:val="24"/>
              </w:rPr>
              <w:t>00 character</w:t>
            </w:r>
            <w:proofErr w:type="gramEnd"/>
            <w:r w:rsidRPr="00AF2839">
              <w:rPr>
                <w:szCs w:val="24"/>
              </w:rPr>
              <w:t xml:space="preserve"> max)</w:t>
            </w:r>
          </w:p>
        </w:tc>
        <w:tc>
          <w:tcPr>
            <w:tcW w:w="6570" w:type="dxa"/>
            <w:tcBorders>
              <w:top w:val="single" w:sz="4" w:space="0" w:color="auto"/>
            </w:tcBorders>
          </w:tcPr>
          <w:p w14:paraId="6F7A3E11" w14:textId="77777777" w:rsidR="00D1379C" w:rsidRPr="00D1379C" w:rsidRDefault="00D1379C" w:rsidP="00437FA2">
            <w:pPr>
              <w:spacing w:before="120" w:after="120"/>
              <w:rPr>
                <w:rFonts w:ascii="Times New Roman" w:eastAsia="Times New Roman" w:hAnsi="Times New Roman" w:cs="Times New Roman"/>
                <w:szCs w:val="24"/>
              </w:rPr>
            </w:pPr>
            <w:r w:rsidRPr="00D1379C">
              <w:rPr>
                <w:rFonts w:eastAsia="Times New Roman" w:cs="Arial"/>
                <w:color w:val="000000"/>
                <w:szCs w:val="24"/>
              </w:rPr>
              <w:t>Describe the applicant’s previous experience and/or expertise in developing and delivering high-quality PL for school leaders, including principals and teacher leaders, to lead evidence-based reading instruction for diverse learners, EL students, pupils with disabilities, and pupils with dyslexia.</w:t>
            </w:r>
          </w:p>
        </w:tc>
      </w:tr>
      <w:tr w:rsidR="00D1379C" w:rsidRPr="00AF2839" w14:paraId="0B90138A" w14:textId="77777777" w:rsidTr="00C93EC7">
        <w:trPr>
          <w:cantSplit/>
        </w:trPr>
        <w:tc>
          <w:tcPr>
            <w:tcW w:w="2942" w:type="dxa"/>
          </w:tcPr>
          <w:p w14:paraId="43A68EE3" w14:textId="77777777" w:rsidR="00D1379C" w:rsidRPr="00AF2839" w:rsidRDefault="00D1379C" w:rsidP="00437FA2">
            <w:pPr>
              <w:spacing w:before="120" w:after="120"/>
              <w:rPr>
                <w:b/>
                <w:szCs w:val="24"/>
              </w:rPr>
            </w:pPr>
            <w:r>
              <w:rPr>
                <w:b/>
                <w:szCs w:val="24"/>
              </w:rPr>
              <w:t>Capacity and Program Facilitation</w:t>
            </w:r>
          </w:p>
          <w:p w14:paraId="67C47354" w14:textId="77777777" w:rsidR="00D1379C" w:rsidRPr="00AF2839" w:rsidRDefault="00D1379C" w:rsidP="00437FA2">
            <w:pPr>
              <w:spacing w:before="120" w:after="120"/>
              <w:rPr>
                <w:b/>
                <w:szCs w:val="24"/>
              </w:rPr>
            </w:pPr>
            <w:r>
              <w:rPr>
                <w:szCs w:val="24"/>
              </w:rPr>
              <w:t xml:space="preserve"> (</w:t>
            </w:r>
            <w:proofErr w:type="gramStart"/>
            <w:r>
              <w:rPr>
                <w:szCs w:val="24"/>
              </w:rPr>
              <w:t>2,5</w:t>
            </w:r>
            <w:r w:rsidRPr="00AF2839">
              <w:rPr>
                <w:szCs w:val="24"/>
              </w:rPr>
              <w:t>00 character</w:t>
            </w:r>
            <w:proofErr w:type="gramEnd"/>
            <w:r w:rsidRPr="00AF2839">
              <w:rPr>
                <w:szCs w:val="24"/>
              </w:rPr>
              <w:t xml:space="preserve"> max)</w:t>
            </w:r>
          </w:p>
        </w:tc>
        <w:tc>
          <w:tcPr>
            <w:tcW w:w="6570" w:type="dxa"/>
          </w:tcPr>
          <w:p w14:paraId="768947B0" w14:textId="77777777" w:rsidR="00D1379C" w:rsidRPr="00D1379C" w:rsidRDefault="00D1379C" w:rsidP="00437FA2">
            <w:pPr>
              <w:spacing w:before="120" w:after="120"/>
              <w:rPr>
                <w:rFonts w:ascii="Times New Roman" w:eastAsia="Times New Roman" w:hAnsi="Times New Roman" w:cs="Times New Roman"/>
                <w:szCs w:val="24"/>
              </w:rPr>
            </w:pPr>
            <w:r w:rsidRPr="00D1379C">
              <w:rPr>
                <w:rFonts w:eastAsia="Times New Roman" w:cs="Arial"/>
                <w:color w:val="000000"/>
                <w:szCs w:val="24"/>
              </w:rPr>
              <w:t>Describe the applicant’s previous experience and/or expertise in developing and delivering high-quality PL for educators, including teachers and paraprofessionals, to develop knowledge and skills for appropriate use of screening strategies and evidence-based literacy instruction</w:t>
            </w:r>
            <w:r w:rsidR="00F167B0">
              <w:rPr>
                <w:rFonts w:eastAsia="Times New Roman" w:cs="Arial"/>
                <w:color w:val="000000"/>
                <w:szCs w:val="24"/>
              </w:rPr>
              <w:t>, including biliteracy instruction,</w:t>
            </w:r>
            <w:r w:rsidRPr="00D1379C">
              <w:rPr>
                <w:rFonts w:eastAsia="Times New Roman" w:cs="Arial"/>
                <w:color w:val="000000"/>
                <w:szCs w:val="24"/>
              </w:rPr>
              <w:t xml:space="preserve"> for diverse learners.</w:t>
            </w:r>
          </w:p>
        </w:tc>
      </w:tr>
      <w:tr w:rsidR="00D1379C" w:rsidRPr="00AF2839" w14:paraId="40FA01DB" w14:textId="77777777" w:rsidTr="00C93EC7">
        <w:trPr>
          <w:cantSplit/>
        </w:trPr>
        <w:tc>
          <w:tcPr>
            <w:tcW w:w="2942" w:type="dxa"/>
          </w:tcPr>
          <w:p w14:paraId="314A5E7D" w14:textId="77777777" w:rsidR="00D1379C" w:rsidRPr="00AF2839" w:rsidRDefault="00D1379C" w:rsidP="00437FA2">
            <w:pPr>
              <w:spacing w:before="120" w:after="120"/>
              <w:rPr>
                <w:b/>
                <w:szCs w:val="24"/>
              </w:rPr>
            </w:pPr>
            <w:r>
              <w:rPr>
                <w:b/>
                <w:szCs w:val="24"/>
              </w:rPr>
              <w:t>Capacity and Program Facilitation</w:t>
            </w:r>
          </w:p>
          <w:p w14:paraId="0D17B496" w14:textId="77777777" w:rsidR="00D1379C" w:rsidRPr="00AF2839" w:rsidRDefault="00D1379C" w:rsidP="00437FA2">
            <w:pPr>
              <w:spacing w:before="120" w:after="120"/>
              <w:rPr>
                <w:b/>
                <w:szCs w:val="24"/>
              </w:rPr>
            </w:pPr>
            <w:r>
              <w:rPr>
                <w:szCs w:val="24"/>
              </w:rPr>
              <w:t xml:space="preserve"> (</w:t>
            </w:r>
            <w:proofErr w:type="gramStart"/>
            <w:r>
              <w:rPr>
                <w:szCs w:val="24"/>
              </w:rPr>
              <w:t>2,5</w:t>
            </w:r>
            <w:r w:rsidRPr="00AF2839">
              <w:rPr>
                <w:szCs w:val="24"/>
              </w:rPr>
              <w:t>00 character</w:t>
            </w:r>
            <w:proofErr w:type="gramEnd"/>
            <w:r w:rsidRPr="00AF2839">
              <w:rPr>
                <w:szCs w:val="24"/>
              </w:rPr>
              <w:t xml:space="preserve"> max)</w:t>
            </w:r>
          </w:p>
        </w:tc>
        <w:tc>
          <w:tcPr>
            <w:tcW w:w="6570" w:type="dxa"/>
          </w:tcPr>
          <w:p w14:paraId="6177836E" w14:textId="77777777" w:rsidR="00D1379C" w:rsidRPr="005142B5" w:rsidRDefault="00D1379C" w:rsidP="00437FA2">
            <w:pPr>
              <w:spacing w:before="120" w:after="120"/>
              <w:rPr>
                <w:rFonts w:ascii="Times New Roman" w:eastAsia="Times New Roman" w:hAnsi="Times New Roman" w:cs="Times New Roman"/>
                <w:szCs w:val="24"/>
              </w:rPr>
            </w:pPr>
            <w:r w:rsidRPr="00D1379C">
              <w:rPr>
                <w:rFonts w:eastAsia="Times New Roman" w:cs="Arial"/>
                <w:color w:val="000000"/>
                <w:szCs w:val="24"/>
              </w:rPr>
              <w:t>Describe the applicant’s previous experience and/or expertise in developing and delivering high-quality PL for educators, including teachers and paraprofessionals, to implement evidence-based intensive intervention strategies for pupils struggling with literacy, including tutoring and small group strategies, and strategies for target pupil groups.</w:t>
            </w:r>
          </w:p>
        </w:tc>
      </w:tr>
      <w:tr w:rsidR="00D1379C" w:rsidRPr="00AF2839" w14:paraId="395183C0" w14:textId="77777777" w:rsidTr="00C93EC7">
        <w:trPr>
          <w:cantSplit/>
        </w:trPr>
        <w:tc>
          <w:tcPr>
            <w:tcW w:w="2942" w:type="dxa"/>
          </w:tcPr>
          <w:p w14:paraId="522601CE" w14:textId="77777777" w:rsidR="00D1379C" w:rsidRPr="00AF2839" w:rsidRDefault="00D1379C" w:rsidP="00437FA2">
            <w:pPr>
              <w:spacing w:before="120" w:after="120"/>
              <w:rPr>
                <w:b/>
                <w:szCs w:val="24"/>
              </w:rPr>
            </w:pPr>
            <w:r>
              <w:rPr>
                <w:b/>
                <w:szCs w:val="24"/>
              </w:rPr>
              <w:lastRenderedPageBreak/>
              <w:t>Capacity and Program Facilitation</w:t>
            </w:r>
          </w:p>
          <w:p w14:paraId="17200E1C" w14:textId="77777777" w:rsidR="00D1379C" w:rsidRDefault="00D1379C" w:rsidP="00437FA2">
            <w:pPr>
              <w:spacing w:before="120" w:after="120"/>
              <w:rPr>
                <w:b/>
                <w:szCs w:val="24"/>
              </w:rPr>
            </w:pPr>
            <w:r>
              <w:rPr>
                <w:szCs w:val="24"/>
              </w:rPr>
              <w:t xml:space="preserve"> (</w:t>
            </w:r>
            <w:proofErr w:type="gramStart"/>
            <w:r>
              <w:rPr>
                <w:szCs w:val="24"/>
              </w:rPr>
              <w:t>2,5</w:t>
            </w:r>
            <w:r w:rsidRPr="00AF2839">
              <w:rPr>
                <w:szCs w:val="24"/>
              </w:rPr>
              <w:t>00 character</w:t>
            </w:r>
            <w:proofErr w:type="gramEnd"/>
            <w:r w:rsidRPr="00AF2839">
              <w:rPr>
                <w:szCs w:val="24"/>
              </w:rPr>
              <w:t xml:space="preserve"> max)</w:t>
            </w:r>
          </w:p>
        </w:tc>
        <w:tc>
          <w:tcPr>
            <w:tcW w:w="6570" w:type="dxa"/>
          </w:tcPr>
          <w:p w14:paraId="43CA0C95" w14:textId="77777777" w:rsidR="00D1379C" w:rsidRPr="005142B5" w:rsidRDefault="00D1379C" w:rsidP="00437FA2">
            <w:pPr>
              <w:spacing w:before="120" w:after="120"/>
              <w:rPr>
                <w:rFonts w:ascii="Times New Roman" w:eastAsia="Times New Roman" w:hAnsi="Times New Roman" w:cs="Times New Roman"/>
                <w:szCs w:val="24"/>
              </w:rPr>
            </w:pPr>
            <w:r w:rsidRPr="00D1379C">
              <w:rPr>
                <w:rFonts w:eastAsia="Times New Roman" w:cs="Arial"/>
                <w:color w:val="000000"/>
                <w:szCs w:val="24"/>
              </w:rPr>
              <w:t>Describe the applicant’s previous experience and/or expertise in developing and delivering high-quality PL for all educators, including support staff, to implement evidence-based strategies to support the development of pupils’ executive functioning skills required for reading and oral language comprehension, fluency, and phonemic awareness.</w:t>
            </w:r>
          </w:p>
        </w:tc>
      </w:tr>
      <w:tr w:rsidR="00D1379C" w:rsidRPr="00AF2839" w14:paraId="0F42E68B" w14:textId="77777777" w:rsidTr="00C93EC7">
        <w:trPr>
          <w:cantSplit/>
        </w:trPr>
        <w:tc>
          <w:tcPr>
            <w:tcW w:w="2942" w:type="dxa"/>
          </w:tcPr>
          <w:p w14:paraId="07382B81" w14:textId="77777777" w:rsidR="00D1379C" w:rsidRPr="00AF2839" w:rsidRDefault="00D1379C" w:rsidP="00437FA2">
            <w:pPr>
              <w:spacing w:before="120" w:after="120"/>
              <w:rPr>
                <w:b/>
                <w:szCs w:val="24"/>
              </w:rPr>
            </w:pPr>
            <w:r>
              <w:rPr>
                <w:b/>
                <w:szCs w:val="24"/>
              </w:rPr>
              <w:t>Project Plan</w:t>
            </w:r>
          </w:p>
          <w:p w14:paraId="10E9A3AC" w14:textId="77777777" w:rsidR="00D1379C" w:rsidRDefault="00D1379C" w:rsidP="00437FA2">
            <w:pPr>
              <w:spacing w:before="120" w:after="120"/>
              <w:rPr>
                <w:b/>
                <w:szCs w:val="24"/>
              </w:rPr>
            </w:pPr>
            <w:r>
              <w:rPr>
                <w:szCs w:val="24"/>
              </w:rPr>
              <w:t>(</w:t>
            </w:r>
            <w:proofErr w:type="gramStart"/>
            <w:r>
              <w:rPr>
                <w:szCs w:val="24"/>
              </w:rPr>
              <w:t>5,0</w:t>
            </w:r>
            <w:r w:rsidRPr="00AF2839">
              <w:rPr>
                <w:szCs w:val="24"/>
              </w:rPr>
              <w:t>00 character</w:t>
            </w:r>
            <w:proofErr w:type="gramEnd"/>
            <w:r w:rsidRPr="00AF2839">
              <w:rPr>
                <w:szCs w:val="24"/>
              </w:rPr>
              <w:t xml:space="preserve"> max)</w:t>
            </w:r>
          </w:p>
        </w:tc>
        <w:tc>
          <w:tcPr>
            <w:tcW w:w="6570" w:type="dxa"/>
          </w:tcPr>
          <w:p w14:paraId="6E38AC9D" w14:textId="77777777" w:rsidR="00D1379C" w:rsidRPr="00D1379C" w:rsidRDefault="00D1379C" w:rsidP="00437FA2">
            <w:pPr>
              <w:pStyle w:val="NormalWeb"/>
              <w:spacing w:before="120" w:beforeAutospacing="0" w:after="120" w:afterAutospacing="0"/>
              <w:rPr>
                <w:rFonts w:ascii="Arial" w:hAnsi="Arial" w:cs="Arial"/>
              </w:rPr>
            </w:pPr>
            <w:r w:rsidRPr="00304209">
              <w:rPr>
                <w:rFonts w:ascii="Arial" w:hAnsi="Arial" w:cs="Arial"/>
              </w:rPr>
              <w:t>Provide an overview of the project plan, describing how the applicant will use the funding to generate and disseminate PL opportunities</w:t>
            </w:r>
            <w:r>
              <w:rPr>
                <w:rFonts w:ascii="Arial" w:hAnsi="Arial" w:cs="Arial"/>
              </w:rPr>
              <w:t xml:space="preserve"> </w:t>
            </w:r>
            <w:r w:rsidRPr="00304209">
              <w:rPr>
                <w:rFonts w:ascii="Arial" w:hAnsi="Arial" w:cs="Arial"/>
              </w:rPr>
              <w:t xml:space="preserve">for educators </w:t>
            </w:r>
            <w:r>
              <w:rPr>
                <w:rFonts w:ascii="Arial" w:hAnsi="Arial" w:cs="Arial"/>
              </w:rPr>
              <w:t xml:space="preserve">across the state </w:t>
            </w:r>
            <w:r w:rsidRPr="00304209">
              <w:rPr>
                <w:rFonts w:ascii="Arial" w:hAnsi="Arial" w:cs="Arial"/>
              </w:rPr>
              <w:t>in the areas of evidence-based literacy</w:t>
            </w:r>
            <w:r>
              <w:rPr>
                <w:rFonts w:ascii="Arial" w:hAnsi="Arial" w:cs="Arial"/>
              </w:rPr>
              <w:t xml:space="preserve"> instruction</w:t>
            </w:r>
            <w:r w:rsidRPr="00304209">
              <w:rPr>
                <w:rFonts w:ascii="Arial" w:hAnsi="Arial" w:cs="Arial"/>
              </w:rPr>
              <w:t>, intensive literacy interventions, and support of pupils’ executive functioning skills</w:t>
            </w:r>
            <w:r>
              <w:rPr>
                <w:rFonts w:ascii="Arial" w:hAnsi="Arial" w:cs="Arial"/>
              </w:rPr>
              <w:t xml:space="preserve">, particularly in the context of </w:t>
            </w:r>
            <w:r w:rsidRPr="00201380">
              <w:rPr>
                <w:rFonts w:ascii="Arial" w:hAnsi="Arial" w:cs="Arial"/>
                <w:color w:val="000000"/>
              </w:rPr>
              <w:t xml:space="preserve">accelerated learning </w:t>
            </w:r>
            <w:r>
              <w:rPr>
                <w:rFonts w:ascii="Arial" w:hAnsi="Arial" w:cs="Arial"/>
                <w:color w:val="000000"/>
              </w:rPr>
              <w:t>post-pandemic</w:t>
            </w:r>
            <w:r w:rsidRPr="00201380">
              <w:rPr>
                <w:rFonts w:ascii="Arial" w:hAnsi="Arial" w:cs="Arial"/>
                <w:color w:val="000000"/>
              </w:rPr>
              <w:t>.</w:t>
            </w:r>
          </w:p>
        </w:tc>
      </w:tr>
      <w:tr w:rsidR="00D1379C" w:rsidRPr="00AF2839" w14:paraId="5FD5483F" w14:textId="77777777" w:rsidTr="00C93EC7">
        <w:trPr>
          <w:cantSplit/>
        </w:trPr>
        <w:tc>
          <w:tcPr>
            <w:tcW w:w="2942" w:type="dxa"/>
          </w:tcPr>
          <w:p w14:paraId="14931E5E" w14:textId="77777777" w:rsidR="00D1379C" w:rsidRPr="00AF2839" w:rsidRDefault="00D1379C" w:rsidP="00437FA2">
            <w:pPr>
              <w:spacing w:before="120" w:after="120"/>
              <w:rPr>
                <w:b/>
                <w:szCs w:val="24"/>
              </w:rPr>
            </w:pPr>
            <w:r>
              <w:rPr>
                <w:b/>
                <w:szCs w:val="24"/>
              </w:rPr>
              <w:t>Project Plan</w:t>
            </w:r>
          </w:p>
          <w:p w14:paraId="6B00B4A4" w14:textId="77777777" w:rsidR="00D1379C" w:rsidRPr="00AF2839" w:rsidRDefault="00D1379C" w:rsidP="00437FA2">
            <w:pPr>
              <w:spacing w:before="120" w:after="120"/>
            </w:pPr>
            <w:r w:rsidRPr="00AF2839">
              <w:rPr>
                <w:szCs w:val="24"/>
              </w:rPr>
              <w:t>(</w:t>
            </w:r>
            <w:proofErr w:type="gramStart"/>
            <w:r w:rsidRPr="00AF2839">
              <w:rPr>
                <w:szCs w:val="24"/>
              </w:rPr>
              <w:t>2,500 character</w:t>
            </w:r>
            <w:proofErr w:type="gramEnd"/>
            <w:r w:rsidRPr="00AF2839">
              <w:rPr>
                <w:szCs w:val="24"/>
              </w:rPr>
              <w:t xml:space="preserve"> max)</w:t>
            </w:r>
          </w:p>
        </w:tc>
        <w:tc>
          <w:tcPr>
            <w:tcW w:w="6570" w:type="dxa"/>
          </w:tcPr>
          <w:p w14:paraId="151EF623" w14:textId="77777777" w:rsidR="00D1379C" w:rsidRPr="00D1379C" w:rsidRDefault="00D1379C" w:rsidP="00437FA2">
            <w:pPr>
              <w:spacing w:before="120" w:after="120"/>
              <w:rPr>
                <w:b/>
                <w:szCs w:val="24"/>
              </w:rPr>
            </w:pPr>
            <w:r w:rsidRPr="00D1379C">
              <w:rPr>
                <w:rFonts w:eastAsia="Times New Roman" w:cs="Arial"/>
                <w:color w:val="000000"/>
                <w:szCs w:val="24"/>
              </w:rPr>
              <w:t>Describe target participants, including the type and number of educators and school leaders who will be served and their locations</w:t>
            </w:r>
            <w:r w:rsidR="007E428D">
              <w:rPr>
                <w:rFonts w:eastAsia="Times New Roman" w:cs="Arial"/>
                <w:color w:val="000000"/>
                <w:szCs w:val="24"/>
              </w:rPr>
              <w:t>. Include</w:t>
            </w:r>
            <w:r w:rsidRPr="00D1379C">
              <w:rPr>
                <w:rFonts w:eastAsia="Times New Roman" w:cs="Arial"/>
                <w:color w:val="000000"/>
                <w:szCs w:val="24"/>
                <w:shd w:val="clear" w:color="auto" w:fill="FFFFFF"/>
              </w:rPr>
              <w:t xml:space="preserve"> how the proposed activities will ensure th</w:t>
            </w:r>
            <w:r w:rsidR="007E428D">
              <w:rPr>
                <w:rFonts w:eastAsia="Times New Roman" w:cs="Arial"/>
                <w:color w:val="000000"/>
                <w:szCs w:val="24"/>
                <w:shd w:val="clear" w:color="auto" w:fill="FFFFFF"/>
              </w:rPr>
              <w:t>at the</w:t>
            </w:r>
            <w:r w:rsidRPr="00D1379C">
              <w:rPr>
                <w:rFonts w:eastAsia="Times New Roman" w:cs="Arial"/>
                <w:color w:val="000000"/>
                <w:szCs w:val="24"/>
                <w:shd w:val="clear" w:color="auto" w:fill="FFFFFF"/>
              </w:rPr>
              <w:t xml:space="preserve"> PL</w:t>
            </w:r>
            <w:r w:rsidR="007E428D">
              <w:rPr>
                <w:rFonts w:eastAsia="Times New Roman" w:cs="Arial"/>
                <w:color w:val="000000"/>
                <w:szCs w:val="24"/>
                <w:shd w:val="clear" w:color="auto" w:fill="FFFFFF"/>
              </w:rPr>
              <w:t xml:space="preserve"> opportunities are provided</w:t>
            </w:r>
            <w:r w:rsidRPr="00D1379C">
              <w:rPr>
                <w:rFonts w:eastAsia="Times New Roman" w:cs="Arial"/>
                <w:color w:val="000000"/>
                <w:szCs w:val="24"/>
                <w:shd w:val="clear" w:color="auto" w:fill="FFFFFF"/>
              </w:rPr>
              <w:t xml:space="preserve"> to urban, suburban, and rural settings throughout the state</w:t>
            </w:r>
            <w:r w:rsidR="007E428D">
              <w:rPr>
                <w:rFonts w:eastAsia="Times New Roman" w:cs="Arial"/>
                <w:color w:val="000000"/>
                <w:szCs w:val="24"/>
                <w:shd w:val="clear" w:color="auto" w:fill="FFFFFF"/>
              </w:rPr>
              <w:t xml:space="preserve"> and are</w:t>
            </w:r>
            <w:r w:rsidRPr="00D1379C">
              <w:rPr>
                <w:rFonts w:eastAsia="Times New Roman" w:cs="Arial"/>
                <w:color w:val="000000"/>
                <w:szCs w:val="24"/>
                <w:shd w:val="clear" w:color="auto" w:fill="FFFFFF"/>
              </w:rPr>
              <w:t xml:space="preserve"> differentiated to meet local needs.</w:t>
            </w:r>
          </w:p>
        </w:tc>
      </w:tr>
      <w:tr w:rsidR="00D1379C" w:rsidRPr="00AF2839" w14:paraId="28C55097" w14:textId="77777777" w:rsidTr="00C93EC7">
        <w:trPr>
          <w:cantSplit/>
        </w:trPr>
        <w:tc>
          <w:tcPr>
            <w:tcW w:w="2942" w:type="dxa"/>
          </w:tcPr>
          <w:p w14:paraId="1441872F" w14:textId="77777777" w:rsidR="00D1379C" w:rsidRPr="00AF2839" w:rsidRDefault="00D1379C" w:rsidP="00437FA2">
            <w:pPr>
              <w:spacing w:before="120" w:after="120"/>
              <w:rPr>
                <w:b/>
                <w:szCs w:val="24"/>
              </w:rPr>
            </w:pPr>
            <w:r>
              <w:rPr>
                <w:b/>
                <w:szCs w:val="24"/>
              </w:rPr>
              <w:t>Project Plan</w:t>
            </w:r>
          </w:p>
          <w:p w14:paraId="30EBD7F0" w14:textId="77777777" w:rsidR="00D1379C" w:rsidRDefault="00D1379C" w:rsidP="00437FA2">
            <w:pPr>
              <w:spacing w:before="120" w:after="120"/>
              <w:rPr>
                <w:b/>
              </w:rPr>
            </w:pPr>
            <w:r w:rsidRPr="00AF2839">
              <w:rPr>
                <w:szCs w:val="24"/>
              </w:rPr>
              <w:t>(</w:t>
            </w:r>
            <w:proofErr w:type="gramStart"/>
            <w:r w:rsidRPr="00AF2839">
              <w:rPr>
                <w:szCs w:val="24"/>
              </w:rPr>
              <w:t>2,500 character</w:t>
            </w:r>
            <w:proofErr w:type="gramEnd"/>
            <w:r w:rsidRPr="00AF2839">
              <w:rPr>
                <w:szCs w:val="24"/>
              </w:rPr>
              <w:t xml:space="preserve"> max)</w:t>
            </w:r>
          </w:p>
        </w:tc>
        <w:tc>
          <w:tcPr>
            <w:tcW w:w="6570" w:type="dxa"/>
          </w:tcPr>
          <w:p w14:paraId="62C7DF10" w14:textId="77777777" w:rsidR="00D1379C" w:rsidRPr="004470EC" w:rsidRDefault="00D1379C" w:rsidP="00437FA2">
            <w:pPr>
              <w:pStyle w:val="NormalWeb"/>
              <w:spacing w:before="120" w:beforeAutospacing="0" w:after="120" w:afterAutospacing="0"/>
            </w:pPr>
            <w:r w:rsidRPr="00F534AA">
              <w:rPr>
                <w:rFonts w:ascii="Arial" w:hAnsi="Arial" w:cs="Arial"/>
                <w:color w:val="000000"/>
              </w:rPr>
              <w:t xml:space="preserve">Describe how the proposed </w:t>
            </w:r>
            <w:r>
              <w:rPr>
                <w:rFonts w:ascii="Arial" w:hAnsi="Arial" w:cs="Arial"/>
                <w:color w:val="000000"/>
              </w:rPr>
              <w:t>PL</w:t>
            </w:r>
            <w:r w:rsidRPr="00F534AA">
              <w:rPr>
                <w:rFonts w:ascii="Arial" w:hAnsi="Arial" w:cs="Arial"/>
                <w:color w:val="000000"/>
              </w:rPr>
              <w:t xml:space="preserve"> will support educator capacity to implement evidence-based literacy</w:t>
            </w:r>
            <w:r>
              <w:rPr>
                <w:rFonts w:ascii="Arial" w:hAnsi="Arial" w:cs="Arial"/>
                <w:color w:val="000000"/>
              </w:rPr>
              <w:t xml:space="preserve"> instruction</w:t>
            </w:r>
            <w:r w:rsidRPr="00F534AA">
              <w:rPr>
                <w:rFonts w:ascii="Arial" w:hAnsi="Arial" w:cs="Arial"/>
                <w:color w:val="000000"/>
              </w:rPr>
              <w:t>, intensive literacy interventions, and practices in support of pupils’ executive functioning skills.</w:t>
            </w:r>
          </w:p>
        </w:tc>
      </w:tr>
      <w:tr w:rsidR="00D1379C" w:rsidRPr="00AF2839" w14:paraId="686D64AB" w14:textId="77777777" w:rsidTr="00C93EC7">
        <w:trPr>
          <w:cantSplit/>
        </w:trPr>
        <w:tc>
          <w:tcPr>
            <w:tcW w:w="2942" w:type="dxa"/>
          </w:tcPr>
          <w:p w14:paraId="34B17A49" w14:textId="77777777" w:rsidR="00D1379C" w:rsidRPr="00AF2839" w:rsidRDefault="00D1379C" w:rsidP="00437FA2">
            <w:pPr>
              <w:spacing w:before="120" w:after="120"/>
              <w:rPr>
                <w:b/>
                <w:szCs w:val="24"/>
              </w:rPr>
            </w:pPr>
            <w:r>
              <w:rPr>
                <w:b/>
                <w:szCs w:val="24"/>
              </w:rPr>
              <w:t>Project Plan</w:t>
            </w:r>
          </w:p>
          <w:p w14:paraId="17AD1CA9" w14:textId="77777777" w:rsidR="00D1379C" w:rsidRDefault="00D1379C" w:rsidP="00437FA2">
            <w:pPr>
              <w:spacing w:before="120" w:after="120"/>
              <w:rPr>
                <w:b/>
              </w:rPr>
            </w:pPr>
            <w:r w:rsidRPr="00AF2839">
              <w:rPr>
                <w:szCs w:val="24"/>
              </w:rPr>
              <w:t>(</w:t>
            </w:r>
            <w:proofErr w:type="gramStart"/>
            <w:r w:rsidRPr="00AF2839">
              <w:rPr>
                <w:szCs w:val="24"/>
              </w:rPr>
              <w:t>2,500 character</w:t>
            </w:r>
            <w:proofErr w:type="gramEnd"/>
            <w:r w:rsidRPr="00AF2839">
              <w:rPr>
                <w:szCs w:val="24"/>
              </w:rPr>
              <w:t xml:space="preserve"> max)</w:t>
            </w:r>
          </w:p>
        </w:tc>
        <w:tc>
          <w:tcPr>
            <w:tcW w:w="6570" w:type="dxa"/>
          </w:tcPr>
          <w:p w14:paraId="67314693" w14:textId="77777777" w:rsidR="00D1379C" w:rsidRPr="00D1379C" w:rsidRDefault="00D1379C" w:rsidP="00437FA2">
            <w:pPr>
              <w:pStyle w:val="NormalWeb"/>
              <w:spacing w:before="120" w:beforeAutospacing="0" w:after="120" w:afterAutospacing="0"/>
              <w:rPr>
                <w:rFonts w:ascii="Arial" w:hAnsi="Arial" w:cs="Arial"/>
              </w:rPr>
            </w:pPr>
            <w:r w:rsidRPr="00646C4B">
              <w:rPr>
                <w:rFonts w:ascii="Arial" w:hAnsi="Arial" w:cs="Arial"/>
                <w:color w:val="000000"/>
              </w:rPr>
              <w:t xml:space="preserve">Describe how the proposed </w:t>
            </w:r>
            <w:r>
              <w:rPr>
                <w:rFonts w:ascii="Arial" w:hAnsi="Arial" w:cs="Arial"/>
                <w:color w:val="000000"/>
              </w:rPr>
              <w:t>PL</w:t>
            </w:r>
            <w:r w:rsidRPr="00646C4B">
              <w:rPr>
                <w:rFonts w:ascii="Arial" w:hAnsi="Arial" w:cs="Arial"/>
                <w:color w:val="000000"/>
              </w:rPr>
              <w:t xml:space="preserve"> will increase educator capacity to effectively collect, analyze, and respond to data to support </w:t>
            </w:r>
            <w:r>
              <w:rPr>
                <w:rFonts w:ascii="Arial" w:hAnsi="Arial" w:cs="Arial"/>
                <w:color w:val="000000"/>
              </w:rPr>
              <w:t xml:space="preserve">instruction and achieve </w:t>
            </w:r>
            <w:r w:rsidRPr="00646C4B">
              <w:rPr>
                <w:rFonts w:ascii="Arial" w:hAnsi="Arial" w:cs="Arial"/>
                <w:color w:val="000000"/>
              </w:rPr>
              <w:t>grant goals.</w:t>
            </w:r>
          </w:p>
        </w:tc>
      </w:tr>
      <w:tr w:rsidR="00D1379C" w:rsidRPr="00AF2839" w14:paraId="1AE48DDA" w14:textId="77777777" w:rsidTr="00C93EC7">
        <w:trPr>
          <w:cantSplit/>
        </w:trPr>
        <w:tc>
          <w:tcPr>
            <w:tcW w:w="2942" w:type="dxa"/>
          </w:tcPr>
          <w:p w14:paraId="47BBEA35" w14:textId="77777777" w:rsidR="00D1379C" w:rsidRPr="00AF2839" w:rsidRDefault="00D1379C" w:rsidP="00437FA2">
            <w:pPr>
              <w:spacing w:before="120" w:after="120"/>
              <w:rPr>
                <w:b/>
                <w:szCs w:val="24"/>
              </w:rPr>
            </w:pPr>
            <w:r>
              <w:rPr>
                <w:b/>
                <w:szCs w:val="24"/>
              </w:rPr>
              <w:t>Project Plan</w:t>
            </w:r>
          </w:p>
          <w:p w14:paraId="0F14D749" w14:textId="77777777" w:rsidR="00D1379C" w:rsidRPr="00AF2839" w:rsidRDefault="00D1379C" w:rsidP="00437FA2">
            <w:pPr>
              <w:spacing w:before="120" w:after="120"/>
              <w:rPr>
                <w:b/>
                <w:szCs w:val="24"/>
              </w:rPr>
            </w:pPr>
            <w:r w:rsidRPr="00AF2839">
              <w:rPr>
                <w:szCs w:val="24"/>
              </w:rPr>
              <w:t>(</w:t>
            </w:r>
            <w:proofErr w:type="gramStart"/>
            <w:r w:rsidRPr="00AF2839">
              <w:rPr>
                <w:szCs w:val="24"/>
              </w:rPr>
              <w:t>2,500 character</w:t>
            </w:r>
            <w:proofErr w:type="gramEnd"/>
            <w:r w:rsidRPr="00AF2839">
              <w:rPr>
                <w:szCs w:val="24"/>
              </w:rPr>
              <w:t xml:space="preserve"> max)</w:t>
            </w:r>
          </w:p>
        </w:tc>
        <w:tc>
          <w:tcPr>
            <w:tcW w:w="6570" w:type="dxa"/>
          </w:tcPr>
          <w:p w14:paraId="2D93D1CE" w14:textId="77777777" w:rsidR="00D1379C" w:rsidRPr="00D1379C" w:rsidRDefault="00D1379C" w:rsidP="00437FA2">
            <w:pPr>
              <w:pStyle w:val="NormalWeb"/>
              <w:spacing w:before="120" w:beforeAutospacing="0" w:after="120" w:afterAutospacing="0"/>
              <w:rPr>
                <w:rFonts w:ascii="Arial" w:hAnsi="Arial" w:cs="Arial"/>
              </w:rPr>
            </w:pPr>
            <w:r w:rsidRPr="008E35DB">
              <w:rPr>
                <w:rFonts w:ascii="Arial" w:hAnsi="Arial" w:cs="Arial"/>
                <w:color w:val="000000"/>
              </w:rPr>
              <w:t xml:space="preserve">Describe how the proposed activities promote disciplinary literacy and a culture in which all educators are responsible for literacy learning. </w:t>
            </w:r>
          </w:p>
        </w:tc>
      </w:tr>
      <w:tr w:rsidR="00D1379C" w:rsidRPr="00AF2839" w14:paraId="1BFCA499" w14:textId="77777777" w:rsidTr="00C93EC7">
        <w:trPr>
          <w:cantSplit/>
        </w:trPr>
        <w:tc>
          <w:tcPr>
            <w:tcW w:w="2942" w:type="dxa"/>
          </w:tcPr>
          <w:p w14:paraId="4D2298A5" w14:textId="77777777" w:rsidR="00D1379C" w:rsidRDefault="00D1379C" w:rsidP="00437FA2">
            <w:pPr>
              <w:spacing w:before="120" w:after="120"/>
              <w:rPr>
                <w:b/>
                <w:szCs w:val="24"/>
              </w:rPr>
            </w:pPr>
            <w:r>
              <w:rPr>
                <w:b/>
                <w:szCs w:val="24"/>
              </w:rPr>
              <w:t>Project Plan</w:t>
            </w:r>
          </w:p>
          <w:p w14:paraId="4346D17A" w14:textId="77777777" w:rsidR="00EB7049" w:rsidRPr="00EB7049" w:rsidRDefault="00EB7049" w:rsidP="00437FA2">
            <w:pPr>
              <w:spacing w:before="120" w:after="120"/>
              <w:rPr>
                <w:szCs w:val="24"/>
              </w:rPr>
            </w:pPr>
            <w:r w:rsidRPr="00EB7049">
              <w:rPr>
                <w:szCs w:val="24"/>
              </w:rPr>
              <w:t>(upload attachment)</w:t>
            </w:r>
          </w:p>
        </w:tc>
        <w:tc>
          <w:tcPr>
            <w:tcW w:w="6570" w:type="dxa"/>
          </w:tcPr>
          <w:p w14:paraId="0EDEFF81" w14:textId="77777777" w:rsidR="00D1379C" w:rsidRPr="004F6D97" w:rsidRDefault="00D1379C" w:rsidP="00437FA2">
            <w:pPr>
              <w:spacing w:before="120" w:after="120"/>
              <w:rPr>
                <w:szCs w:val="24"/>
              </w:rPr>
            </w:pPr>
            <w:r w:rsidRPr="00D1379C">
              <w:rPr>
                <w:rFonts w:cs="Arial"/>
                <w:color w:val="000000"/>
                <w:szCs w:val="24"/>
              </w:rPr>
              <w:t>Provide a</w:t>
            </w:r>
            <w:r w:rsidR="005142B5">
              <w:rPr>
                <w:rFonts w:cs="Arial"/>
                <w:color w:val="000000"/>
                <w:szCs w:val="24"/>
              </w:rPr>
              <w:t xml:space="preserve"> project</w:t>
            </w:r>
            <w:r w:rsidRPr="00D1379C">
              <w:rPr>
                <w:rFonts w:cs="Arial"/>
                <w:color w:val="000000"/>
                <w:szCs w:val="24"/>
              </w:rPr>
              <w:t xml:space="preserve"> timeline for implementation of proposed activities</w:t>
            </w:r>
            <w:r w:rsidR="004F6D97">
              <w:rPr>
                <w:rFonts w:cs="Arial"/>
                <w:color w:val="000000"/>
                <w:szCs w:val="24"/>
              </w:rPr>
              <w:t xml:space="preserve"> that includes approximate dates</w:t>
            </w:r>
            <w:r w:rsidR="004F6D97" w:rsidRPr="00F534AA">
              <w:rPr>
                <w:rFonts w:cs="Arial"/>
                <w:color w:val="000000"/>
                <w:szCs w:val="24"/>
              </w:rPr>
              <w:t xml:space="preserve"> for implementation of</w:t>
            </w:r>
            <w:r w:rsidR="004F6D97">
              <w:rPr>
                <w:rFonts w:cs="Arial"/>
                <w:color w:val="000000"/>
                <w:szCs w:val="24"/>
              </w:rPr>
              <w:t xml:space="preserve"> all major</w:t>
            </w:r>
            <w:r w:rsidR="004F6D97" w:rsidRPr="00F534AA">
              <w:rPr>
                <w:rFonts w:cs="Arial"/>
                <w:color w:val="000000"/>
                <w:szCs w:val="24"/>
              </w:rPr>
              <w:t xml:space="preserve"> proposed activities.</w:t>
            </w:r>
          </w:p>
        </w:tc>
      </w:tr>
      <w:tr w:rsidR="00D1379C" w:rsidRPr="00AF2839" w14:paraId="0C607A85" w14:textId="77777777" w:rsidTr="00C93EC7">
        <w:trPr>
          <w:cantSplit/>
        </w:trPr>
        <w:tc>
          <w:tcPr>
            <w:tcW w:w="2942" w:type="dxa"/>
          </w:tcPr>
          <w:p w14:paraId="464345EB" w14:textId="77777777" w:rsidR="00D1379C" w:rsidRPr="00AF2839" w:rsidRDefault="00D1379C" w:rsidP="00437FA2">
            <w:pPr>
              <w:spacing w:before="120" w:after="120"/>
              <w:rPr>
                <w:b/>
                <w:szCs w:val="24"/>
              </w:rPr>
            </w:pPr>
            <w:r>
              <w:rPr>
                <w:b/>
                <w:szCs w:val="24"/>
              </w:rPr>
              <w:lastRenderedPageBreak/>
              <w:t>Alignment</w:t>
            </w:r>
          </w:p>
          <w:p w14:paraId="1DDE1506" w14:textId="77777777" w:rsidR="00D1379C" w:rsidRPr="00CE276C" w:rsidRDefault="00D1379C" w:rsidP="00437FA2">
            <w:pPr>
              <w:spacing w:before="120" w:after="120"/>
              <w:rPr>
                <w:b/>
              </w:rPr>
            </w:pPr>
            <w:r w:rsidRPr="00AF2839">
              <w:rPr>
                <w:szCs w:val="24"/>
              </w:rPr>
              <w:t>(</w:t>
            </w:r>
            <w:proofErr w:type="gramStart"/>
            <w:r w:rsidRPr="00AF2839">
              <w:rPr>
                <w:szCs w:val="24"/>
              </w:rPr>
              <w:t>2,500 character</w:t>
            </w:r>
            <w:proofErr w:type="gramEnd"/>
            <w:r w:rsidRPr="00AF2839">
              <w:rPr>
                <w:szCs w:val="24"/>
              </w:rPr>
              <w:t xml:space="preserve"> max)</w:t>
            </w:r>
          </w:p>
        </w:tc>
        <w:tc>
          <w:tcPr>
            <w:tcW w:w="6570" w:type="dxa"/>
          </w:tcPr>
          <w:p w14:paraId="6BD95A0C" w14:textId="77777777" w:rsidR="00D1379C" w:rsidRPr="00D1379C" w:rsidRDefault="00D1379C" w:rsidP="00437FA2">
            <w:pPr>
              <w:spacing w:before="120" w:after="120"/>
              <w:rPr>
                <w:rFonts w:ascii="Times New Roman" w:eastAsia="Times New Roman" w:hAnsi="Times New Roman" w:cs="Times New Roman"/>
                <w:szCs w:val="24"/>
              </w:rPr>
            </w:pPr>
            <w:r w:rsidRPr="00D1379C">
              <w:rPr>
                <w:rFonts w:eastAsia="Times New Roman" w:cs="Arial"/>
                <w:color w:val="000000"/>
                <w:szCs w:val="24"/>
              </w:rPr>
              <w:t xml:space="preserve">Describe how the proposed activities align </w:t>
            </w:r>
            <w:r w:rsidR="00AA6061" w:rsidRPr="003F42A8">
              <w:rPr>
                <w:rFonts w:eastAsia="Times New Roman" w:cs="Arial"/>
                <w:color w:val="000000"/>
                <w:szCs w:val="24"/>
              </w:rPr>
              <w:t xml:space="preserve">with </w:t>
            </w:r>
            <w:r w:rsidR="00AA6061">
              <w:rPr>
                <w:rFonts w:eastAsia="Times New Roman" w:cs="Arial"/>
                <w:color w:val="000000"/>
                <w:szCs w:val="24"/>
              </w:rPr>
              <w:t>the California CCSS for ELA/Literacy, the California ELD standards, and</w:t>
            </w:r>
            <w:r w:rsidRPr="00D1379C">
              <w:rPr>
                <w:rFonts w:eastAsia="Times New Roman" w:cs="Arial"/>
                <w:color w:val="000000"/>
                <w:szCs w:val="24"/>
              </w:rPr>
              <w:t xml:space="preserve"> all five themes of the ELA/ELD Framework, including language development, meaning making, effective expression, content knowledge, and foundational skills.</w:t>
            </w:r>
          </w:p>
        </w:tc>
      </w:tr>
      <w:tr w:rsidR="00D1379C" w:rsidRPr="00AF2839" w14:paraId="4566748A" w14:textId="77777777" w:rsidTr="00C93EC7">
        <w:trPr>
          <w:cantSplit/>
          <w:trHeight w:val="341"/>
        </w:trPr>
        <w:tc>
          <w:tcPr>
            <w:tcW w:w="2942" w:type="dxa"/>
            <w:tcBorders>
              <w:bottom w:val="single" w:sz="4" w:space="0" w:color="auto"/>
            </w:tcBorders>
          </w:tcPr>
          <w:p w14:paraId="6C48F30A" w14:textId="77777777" w:rsidR="00175A6C" w:rsidRPr="00AF2839" w:rsidRDefault="00175A6C" w:rsidP="00437FA2">
            <w:pPr>
              <w:spacing w:before="120" w:after="120"/>
              <w:rPr>
                <w:b/>
                <w:szCs w:val="24"/>
              </w:rPr>
            </w:pPr>
            <w:r>
              <w:rPr>
                <w:b/>
                <w:szCs w:val="24"/>
              </w:rPr>
              <w:t>Alignment</w:t>
            </w:r>
          </w:p>
          <w:p w14:paraId="45A0C5B6" w14:textId="77777777" w:rsidR="00D1379C" w:rsidRPr="00AF2839" w:rsidRDefault="00175A6C" w:rsidP="00437FA2">
            <w:pPr>
              <w:spacing w:before="120" w:after="120"/>
              <w:rPr>
                <w:b/>
                <w:szCs w:val="24"/>
              </w:rPr>
            </w:pPr>
            <w:r w:rsidRPr="00AF2839">
              <w:rPr>
                <w:szCs w:val="24"/>
              </w:rPr>
              <w:t>(</w:t>
            </w:r>
            <w:proofErr w:type="gramStart"/>
            <w:r w:rsidRPr="00AF2839">
              <w:rPr>
                <w:szCs w:val="24"/>
              </w:rPr>
              <w:t>2,500 character</w:t>
            </w:r>
            <w:proofErr w:type="gramEnd"/>
            <w:r w:rsidRPr="00AF2839">
              <w:rPr>
                <w:szCs w:val="24"/>
              </w:rPr>
              <w:t xml:space="preserve"> max)</w:t>
            </w:r>
          </w:p>
        </w:tc>
        <w:tc>
          <w:tcPr>
            <w:tcW w:w="6570" w:type="dxa"/>
            <w:tcBorders>
              <w:bottom w:val="single" w:sz="4" w:space="0" w:color="auto"/>
            </w:tcBorders>
          </w:tcPr>
          <w:p w14:paraId="43CDB35B" w14:textId="77777777" w:rsidR="00D1379C" w:rsidRPr="00D1379C" w:rsidRDefault="00D1379C" w:rsidP="00437FA2">
            <w:pPr>
              <w:spacing w:before="120" w:after="120"/>
              <w:rPr>
                <w:rFonts w:ascii="Times New Roman" w:eastAsia="Times New Roman" w:hAnsi="Times New Roman" w:cs="Times New Roman"/>
                <w:szCs w:val="24"/>
              </w:rPr>
            </w:pPr>
            <w:r w:rsidRPr="00D1379C">
              <w:rPr>
                <w:rFonts w:eastAsia="Times New Roman" w:cs="Arial"/>
                <w:color w:val="000000"/>
                <w:szCs w:val="24"/>
              </w:rPr>
              <w:t>Describe how the proposed activities align to the Comprehensive SLP, specifically focusing on the Comprehensive and Integrated Literacy Model, which includes MTSS best first instruction, culturally sustaining pedagogies, SEL, and family engagement.</w:t>
            </w:r>
          </w:p>
        </w:tc>
      </w:tr>
      <w:tr w:rsidR="00D1379C" w:rsidRPr="00AF2839" w14:paraId="390B10D4" w14:textId="77777777" w:rsidTr="00C93EC7">
        <w:trPr>
          <w:cantSplit/>
          <w:trHeight w:val="323"/>
        </w:trPr>
        <w:tc>
          <w:tcPr>
            <w:tcW w:w="2942" w:type="dxa"/>
            <w:tcBorders>
              <w:top w:val="single" w:sz="4" w:space="0" w:color="auto"/>
            </w:tcBorders>
          </w:tcPr>
          <w:p w14:paraId="06919ABE" w14:textId="77777777" w:rsidR="00175A6C" w:rsidRPr="00AF2839" w:rsidRDefault="00175A6C" w:rsidP="00437FA2">
            <w:pPr>
              <w:spacing w:before="120" w:after="120"/>
              <w:rPr>
                <w:b/>
                <w:szCs w:val="24"/>
              </w:rPr>
            </w:pPr>
            <w:r>
              <w:rPr>
                <w:b/>
                <w:szCs w:val="24"/>
              </w:rPr>
              <w:t>Alignment</w:t>
            </w:r>
          </w:p>
          <w:p w14:paraId="1AEA1EE0" w14:textId="77777777" w:rsidR="00D1379C" w:rsidRPr="00AF2839" w:rsidRDefault="00175A6C" w:rsidP="00437FA2">
            <w:pPr>
              <w:spacing w:before="120" w:after="120"/>
              <w:rPr>
                <w:b/>
                <w:szCs w:val="24"/>
              </w:rPr>
            </w:pPr>
            <w:r w:rsidRPr="00AF2839">
              <w:rPr>
                <w:szCs w:val="24"/>
              </w:rPr>
              <w:t>(</w:t>
            </w:r>
            <w:proofErr w:type="gramStart"/>
            <w:r w:rsidRPr="00AF2839">
              <w:rPr>
                <w:szCs w:val="24"/>
              </w:rPr>
              <w:t>2,500 character</w:t>
            </w:r>
            <w:proofErr w:type="gramEnd"/>
            <w:r w:rsidRPr="00AF2839">
              <w:rPr>
                <w:szCs w:val="24"/>
              </w:rPr>
              <w:t xml:space="preserve"> max)</w:t>
            </w:r>
          </w:p>
        </w:tc>
        <w:tc>
          <w:tcPr>
            <w:tcW w:w="6570" w:type="dxa"/>
            <w:tcBorders>
              <w:top w:val="single" w:sz="4" w:space="0" w:color="auto"/>
            </w:tcBorders>
          </w:tcPr>
          <w:p w14:paraId="22AF4587" w14:textId="77777777" w:rsidR="00D1379C" w:rsidRPr="00175A6C" w:rsidRDefault="00D1379C" w:rsidP="00437FA2">
            <w:pPr>
              <w:spacing w:before="120" w:after="120"/>
              <w:rPr>
                <w:rFonts w:ascii="Times New Roman" w:eastAsia="Times New Roman" w:hAnsi="Times New Roman" w:cs="Times New Roman"/>
                <w:szCs w:val="24"/>
              </w:rPr>
            </w:pPr>
            <w:r w:rsidRPr="00D1379C">
              <w:rPr>
                <w:rFonts w:eastAsia="Times New Roman" w:cs="Arial"/>
                <w:color w:val="000000"/>
                <w:szCs w:val="24"/>
              </w:rPr>
              <w:t xml:space="preserve">Describe how the proposed activities align with other guidance documents referenced in the SLP, including but </w:t>
            </w:r>
            <w:r w:rsidR="005142B5">
              <w:rPr>
                <w:rFonts w:eastAsia="Times New Roman" w:cs="Arial"/>
                <w:color w:val="000000"/>
                <w:szCs w:val="24"/>
              </w:rPr>
              <w:t xml:space="preserve">not </w:t>
            </w:r>
            <w:r w:rsidRPr="00D1379C">
              <w:rPr>
                <w:rFonts w:eastAsia="Times New Roman" w:cs="Arial"/>
                <w:color w:val="000000"/>
                <w:szCs w:val="24"/>
              </w:rPr>
              <w:t xml:space="preserve">limited to Improving Education for EL Students, </w:t>
            </w:r>
            <w:r w:rsidR="00BA654D">
              <w:rPr>
                <w:rFonts w:eastAsia="Times New Roman" w:cs="Arial"/>
                <w:color w:val="000000"/>
                <w:szCs w:val="24"/>
              </w:rPr>
              <w:t xml:space="preserve">the </w:t>
            </w:r>
            <w:r w:rsidR="00BA654D" w:rsidRPr="00D1379C">
              <w:rPr>
                <w:rFonts w:eastAsia="Times New Roman" w:cs="Arial"/>
                <w:color w:val="000000"/>
                <w:szCs w:val="24"/>
              </w:rPr>
              <w:t>C</w:t>
            </w:r>
            <w:r w:rsidR="00BA654D">
              <w:rPr>
                <w:rFonts w:eastAsia="Times New Roman" w:cs="Arial"/>
                <w:color w:val="000000"/>
                <w:szCs w:val="24"/>
              </w:rPr>
              <w:t>alifornia</w:t>
            </w:r>
            <w:r w:rsidR="00BA654D" w:rsidRPr="00D1379C">
              <w:rPr>
                <w:rFonts w:eastAsia="Times New Roman" w:cs="Arial"/>
                <w:color w:val="000000"/>
                <w:szCs w:val="24"/>
              </w:rPr>
              <w:t xml:space="preserve"> </w:t>
            </w:r>
            <w:r w:rsidRPr="00D1379C">
              <w:rPr>
                <w:rFonts w:eastAsia="Times New Roman" w:cs="Arial"/>
                <w:color w:val="000000"/>
                <w:szCs w:val="24"/>
              </w:rPr>
              <w:t xml:space="preserve">Dyslexia Guidelines, </w:t>
            </w:r>
            <w:r w:rsidR="00C005BF">
              <w:rPr>
                <w:rFonts w:eastAsia="Times New Roman" w:cs="Arial"/>
                <w:color w:val="000000"/>
                <w:szCs w:val="24"/>
              </w:rPr>
              <w:t xml:space="preserve">and </w:t>
            </w:r>
            <w:r w:rsidR="00BA654D">
              <w:rPr>
                <w:rFonts w:eastAsia="Times New Roman" w:cs="Arial"/>
                <w:color w:val="000000"/>
                <w:szCs w:val="24"/>
              </w:rPr>
              <w:t xml:space="preserve">the </w:t>
            </w:r>
            <w:r w:rsidRPr="00D1379C">
              <w:rPr>
                <w:rFonts w:eastAsia="Times New Roman" w:cs="Arial"/>
                <w:color w:val="000000"/>
                <w:szCs w:val="24"/>
              </w:rPr>
              <w:t>Guide for Educating EL Students with Dyslexia.</w:t>
            </w:r>
          </w:p>
        </w:tc>
      </w:tr>
      <w:tr w:rsidR="00D1379C" w:rsidRPr="00AF2839" w14:paraId="455FC398" w14:textId="77777777" w:rsidTr="00C93EC7">
        <w:trPr>
          <w:cantSplit/>
        </w:trPr>
        <w:tc>
          <w:tcPr>
            <w:tcW w:w="2942" w:type="dxa"/>
          </w:tcPr>
          <w:p w14:paraId="7891651C" w14:textId="77777777" w:rsidR="00175A6C" w:rsidRPr="00AF2839" w:rsidRDefault="00175A6C" w:rsidP="00437FA2">
            <w:pPr>
              <w:spacing w:before="120" w:after="120"/>
              <w:rPr>
                <w:b/>
                <w:szCs w:val="24"/>
              </w:rPr>
            </w:pPr>
            <w:r>
              <w:rPr>
                <w:b/>
                <w:szCs w:val="24"/>
              </w:rPr>
              <w:t>Alignment</w:t>
            </w:r>
          </w:p>
          <w:p w14:paraId="7CE0EA0A" w14:textId="77777777" w:rsidR="00D1379C" w:rsidRPr="00AF2839" w:rsidRDefault="00175A6C" w:rsidP="00437FA2">
            <w:pPr>
              <w:spacing w:before="120" w:after="120"/>
              <w:rPr>
                <w:b/>
                <w:szCs w:val="24"/>
              </w:rPr>
            </w:pPr>
            <w:r w:rsidRPr="00AF2839">
              <w:rPr>
                <w:szCs w:val="24"/>
              </w:rPr>
              <w:t>(</w:t>
            </w:r>
            <w:proofErr w:type="gramStart"/>
            <w:r w:rsidRPr="00AF2839">
              <w:rPr>
                <w:szCs w:val="24"/>
              </w:rPr>
              <w:t>2,500 character</w:t>
            </w:r>
            <w:proofErr w:type="gramEnd"/>
            <w:r w:rsidRPr="00AF2839">
              <w:rPr>
                <w:szCs w:val="24"/>
              </w:rPr>
              <w:t xml:space="preserve"> max)</w:t>
            </w:r>
          </w:p>
        </w:tc>
        <w:tc>
          <w:tcPr>
            <w:tcW w:w="6570" w:type="dxa"/>
          </w:tcPr>
          <w:p w14:paraId="5B7F8009" w14:textId="77777777" w:rsidR="00D1379C" w:rsidRPr="00175A6C" w:rsidRDefault="00175A6C" w:rsidP="00437FA2">
            <w:pPr>
              <w:pStyle w:val="NormalWeb"/>
              <w:spacing w:before="120" w:beforeAutospacing="0" w:after="120" w:afterAutospacing="0"/>
              <w:rPr>
                <w:rFonts w:ascii="Arial" w:hAnsi="Arial" w:cs="Arial"/>
              </w:rPr>
            </w:pPr>
            <w:r w:rsidRPr="008E35DB">
              <w:rPr>
                <w:rFonts w:ascii="Arial" w:hAnsi="Arial" w:cs="Arial"/>
              </w:rPr>
              <w:t xml:space="preserve">Describe how this project will align with the other state literacy initiatives described </w:t>
            </w:r>
            <w:r w:rsidRPr="00A65AC6">
              <w:rPr>
                <w:rFonts w:ascii="Arial" w:hAnsi="Arial" w:cs="Arial"/>
              </w:rPr>
              <w:t xml:space="preserve">in Section 1, Part </w:t>
            </w:r>
            <w:r>
              <w:rPr>
                <w:rFonts w:ascii="Arial" w:hAnsi="Arial" w:cs="Arial"/>
              </w:rPr>
              <w:t>C</w:t>
            </w:r>
            <w:r w:rsidRPr="00A65AC6">
              <w:rPr>
                <w:rFonts w:ascii="Arial" w:hAnsi="Arial" w:cs="Arial"/>
              </w:rPr>
              <w:t xml:space="preserve">. </w:t>
            </w:r>
          </w:p>
        </w:tc>
      </w:tr>
      <w:tr w:rsidR="00D1379C" w:rsidRPr="00AF2839" w14:paraId="083EE1BD" w14:textId="77777777" w:rsidTr="00C93EC7">
        <w:trPr>
          <w:cantSplit/>
        </w:trPr>
        <w:tc>
          <w:tcPr>
            <w:tcW w:w="2942" w:type="dxa"/>
          </w:tcPr>
          <w:p w14:paraId="05DF6E65" w14:textId="77777777" w:rsidR="00175A6C" w:rsidRPr="00AF2839" w:rsidRDefault="00175A6C" w:rsidP="00437FA2">
            <w:pPr>
              <w:spacing w:before="120" w:after="120"/>
              <w:rPr>
                <w:b/>
                <w:szCs w:val="24"/>
              </w:rPr>
            </w:pPr>
            <w:r>
              <w:rPr>
                <w:b/>
                <w:szCs w:val="24"/>
              </w:rPr>
              <w:t>Expanding Capacity</w:t>
            </w:r>
          </w:p>
          <w:p w14:paraId="679AD9CD" w14:textId="77777777" w:rsidR="00D1379C" w:rsidRPr="00AF2839" w:rsidRDefault="00175A6C" w:rsidP="00437FA2">
            <w:pPr>
              <w:spacing w:before="120" w:after="120"/>
              <w:rPr>
                <w:b/>
                <w:szCs w:val="24"/>
              </w:rPr>
            </w:pPr>
            <w:r w:rsidRPr="00AF2839">
              <w:rPr>
                <w:szCs w:val="24"/>
              </w:rPr>
              <w:t>(</w:t>
            </w:r>
            <w:proofErr w:type="gramStart"/>
            <w:r w:rsidRPr="00AF2839">
              <w:rPr>
                <w:szCs w:val="24"/>
              </w:rPr>
              <w:t>2,500 character</w:t>
            </w:r>
            <w:proofErr w:type="gramEnd"/>
            <w:r w:rsidRPr="00AF2839">
              <w:rPr>
                <w:szCs w:val="24"/>
              </w:rPr>
              <w:t xml:space="preserve"> max)</w:t>
            </w:r>
          </w:p>
        </w:tc>
        <w:tc>
          <w:tcPr>
            <w:tcW w:w="6570" w:type="dxa"/>
          </w:tcPr>
          <w:p w14:paraId="3AA287C2" w14:textId="77777777" w:rsidR="00D1379C" w:rsidRPr="006F12C1" w:rsidRDefault="006F12C1" w:rsidP="00437FA2">
            <w:pPr>
              <w:spacing w:before="120" w:after="120"/>
              <w:rPr>
                <w:rFonts w:ascii="Times New Roman" w:eastAsia="Times New Roman" w:hAnsi="Times New Roman" w:cs="Times New Roman"/>
                <w:szCs w:val="24"/>
              </w:rPr>
            </w:pPr>
            <w:r w:rsidRPr="006F12C1">
              <w:rPr>
                <w:rFonts w:eastAsia="Times New Roman" w:cs="Arial"/>
                <w:color w:val="000000"/>
                <w:szCs w:val="24"/>
              </w:rPr>
              <w:t>Describe how the proposed activities will align to the QPLS: data, content and pedagogy, equity, design and structure, collaboration and shared accountability, resources, and alignment and coherence.</w:t>
            </w:r>
          </w:p>
        </w:tc>
      </w:tr>
      <w:tr w:rsidR="00D1379C" w:rsidRPr="00AF2839" w14:paraId="66EE646D" w14:textId="77777777" w:rsidTr="00C93EC7">
        <w:trPr>
          <w:cantSplit/>
        </w:trPr>
        <w:tc>
          <w:tcPr>
            <w:tcW w:w="2942" w:type="dxa"/>
          </w:tcPr>
          <w:p w14:paraId="6F66D557" w14:textId="77777777" w:rsidR="00175A6C" w:rsidRPr="00AF2839" w:rsidRDefault="00175A6C" w:rsidP="00437FA2">
            <w:pPr>
              <w:spacing w:before="120" w:after="120"/>
              <w:rPr>
                <w:b/>
                <w:szCs w:val="24"/>
              </w:rPr>
            </w:pPr>
            <w:r>
              <w:rPr>
                <w:b/>
                <w:szCs w:val="24"/>
              </w:rPr>
              <w:t>Expanding Capacity</w:t>
            </w:r>
          </w:p>
          <w:p w14:paraId="571367F6" w14:textId="77777777" w:rsidR="00D1379C" w:rsidRPr="00AF2839" w:rsidRDefault="00175A6C" w:rsidP="00437FA2">
            <w:pPr>
              <w:spacing w:before="120" w:after="120"/>
              <w:rPr>
                <w:b/>
                <w:szCs w:val="24"/>
              </w:rPr>
            </w:pPr>
            <w:r w:rsidRPr="00AF2839">
              <w:rPr>
                <w:szCs w:val="24"/>
              </w:rPr>
              <w:t>(</w:t>
            </w:r>
            <w:proofErr w:type="gramStart"/>
            <w:r w:rsidRPr="00AF2839">
              <w:rPr>
                <w:szCs w:val="24"/>
              </w:rPr>
              <w:t>2,500 character</w:t>
            </w:r>
            <w:proofErr w:type="gramEnd"/>
            <w:r w:rsidRPr="00AF2839">
              <w:rPr>
                <w:szCs w:val="24"/>
              </w:rPr>
              <w:t xml:space="preserve"> max)</w:t>
            </w:r>
          </w:p>
        </w:tc>
        <w:tc>
          <w:tcPr>
            <w:tcW w:w="6570" w:type="dxa"/>
          </w:tcPr>
          <w:p w14:paraId="1E881DDD" w14:textId="77777777" w:rsidR="00D1379C" w:rsidRPr="006F12C1" w:rsidRDefault="006F12C1" w:rsidP="00437FA2">
            <w:pPr>
              <w:spacing w:before="120" w:after="120"/>
              <w:rPr>
                <w:b/>
                <w:szCs w:val="24"/>
              </w:rPr>
            </w:pPr>
            <w:r w:rsidRPr="006F12C1">
              <w:rPr>
                <w:rFonts w:eastAsia="Times New Roman" w:cs="Arial"/>
                <w:color w:val="000000"/>
                <w:szCs w:val="24"/>
              </w:rPr>
              <w:t xml:space="preserve">Describe the measures that will be used to determine the increased capacity of </w:t>
            </w:r>
            <w:r w:rsidR="0062184C">
              <w:rPr>
                <w:rFonts w:eastAsia="Times New Roman" w:cs="Arial"/>
                <w:color w:val="000000"/>
                <w:szCs w:val="24"/>
              </w:rPr>
              <w:t>teachers, paraprofessionals,</w:t>
            </w:r>
            <w:r w:rsidR="0062184C" w:rsidRPr="006F12C1">
              <w:rPr>
                <w:rFonts w:eastAsia="Times New Roman" w:cs="Arial"/>
                <w:color w:val="000000"/>
                <w:szCs w:val="24"/>
              </w:rPr>
              <w:t xml:space="preserve"> </w:t>
            </w:r>
            <w:r w:rsidRPr="006F12C1">
              <w:rPr>
                <w:rFonts w:eastAsia="Times New Roman" w:cs="Arial"/>
                <w:color w:val="000000"/>
                <w:szCs w:val="24"/>
              </w:rPr>
              <w:t>and school leaders to address the goals of the grant.</w:t>
            </w:r>
          </w:p>
        </w:tc>
      </w:tr>
      <w:tr w:rsidR="00D1379C" w:rsidRPr="00AF2839" w14:paraId="685D637F" w14:textId="77777777" w:rsidTr="00C93EC7">
        <w:trPr>
          <w:cantSplit/>
        </w:trPr>
        <w:tc>
          <w:tcPr>
            <w:tcW w:w="2942" w:type="dxa"/>
          </w:tcPr>
          <w:p w14:paraId="628F8BD4" w14:textId="77777777" w:rsidR="00175A6C" w:rsidRPr="00AF2839" w:rsidRDefault="00175A6C" w:rsidP="00437FA2">
            <w:pPr>
              <w:spacing w:before="120" w:after="120"/>
              <w:rPr>
                <w:b/>
                <w:szCs w:val="24"/>
              </w:rPr>
            </w:pPr>
            <w:r>
              <w:rPr>
                <w:b/>
                <w:szCs w:val="24"/>
              </w:rPr>
              <w:t>Expanding Capacity</w:t>
            </w:r>
          </w:p>
          <w:p w14:paraId="37F422E0" w14:textId="77777777" w:rsidR="00D1379C" w:rsidRPr="00AF2839" w:rsidRDefault="00175A6C" w:rsidP="00437FA2">
            <w:pPr>
              <w:spacing w:before="120" w:after="120"/>
              <w:rPr>
                <w:b/>
                <w:szCs w:val="24"/>
              </w:rPr>
            </w:pPr>
            <w:r w:rsidRPr="00AF2839">
              <w:rPr>
                <w:szCs w:val="24"/>
              </w:rPr>
              <w:t>(</w:t>
            </w:r>
            <w:proofErr w:type="gramStart"/>
            <w:r w:rsidRPr="00AF2839">
              <w:rPr>
                <w:szCs w:val="24"/>
              </w:rPr>
              <w:t>2,500 character</w:t>
            </w:r>
            <w:proofErr w:type="gramEnd"/>
            <w:r w:rsidRPr="00AF2839">
              <w:rPr>
                <w:szCs w:val="24"/>
              </w:rPr>
              <w:t xml:space="preserve"> max)</w:t>
            </w:r>
          </w:p>
        </w:tc>
        <w:tc>
          <w:tcPr>
            <w:tcW w:w="6570" w:type="dxa"/>
          </w:tcPr>
          <w:p w14:paraId="2BEAC391" w14:textId="77777777" w:rsidR="00D1379C" w:rsidRDefault="006F12C1" w:rsidP="00437FA2">
            <w:pPr>
              <w:spacing w:before="120" w:after="120"/>
            </w:pPr>
            <w:r w:rsidRPr="005D6397">
              <w:rPr>
                <w:rFonts w:cs="Arial"/>
                <w:szCs w:val="24"/>
              </w:rPr>
              <w:t>Explain how the evaluation results will be used to sustain the project beyond the life of the grant so others may benefit from the project</w:t>
            </w:r>
            <w:r w:rsidR="005142B5">
              <w:rPr>
                <w:rFonts w:cs="Arial"/>
                <w:szCs w:val="24"/>
              </w:rPr>
              <w:t>.</w:t>
            </w:r>
          </w:p>
        </w:tc>
      </w:tr>
      <w:tr w:rsidR="00D1379C" w:rsidRPr="00AF2839" w14:paraId="38212D0E" w14:textId="77777777" w:rsidTr="00C93EC7">
        <w:trPr>
          <w:cantSplit/>
        </w:trPr>
        <w:tc>
          <w:tcPr>
            <w:tcW w:w="2942" w:type="dxa"/>
          </w:tcPr>
          <w:p w14:paraId="61BEE676" w14:textId="77777777" w:rsidR="006F12C1" w:rsidRDefault="006F12C1" w:rsidP="00437FA2">
            <w:pPr>
              <w:spacing w:before="120" w:after="120"/>
              <w:rPr>
                <w:b/>
                <w:szCs w:val="24"/>
              </w:rPr>
            </w:pPr>
            <w:r>
              <w:rPr>
                <w:b/>
                <w:szCs w:val="24"/>
              </w:rPr>
              <w:t>Priority Points</w:t>
            </w:r>
            <w:r w:rsidRPr="00F534AA">
              <w:t>—</w:t>
            </w:r>
            <w:r w:rsidR="0035050A" w:rsidRPr="0035050A">
              <w:rPr>
                <w:rFonts w:cs="Arial"/>
                <w:b/>
                <w:szCs w:val="24"/>
              </w:rPr>
              <w:t xml:space="preserve"> IHE/Nonprofit</w:t>
            </w:r>
            <w:r w:rsidR="0035050A">
              <w:rPr>
                <w:rFonts w:cs="Arial"/>
                <w:szCs w:val="24"/>
              </w:rPr>
              <w:t xml:space="preserve"> </w:t>
            </w:r>
            <w:r>
              <w:rPr>
                <w:b/>
                <w:szCs w:val="24"/>
              </w:rPr>
              <w:t>Consortium Collaboration</w:t>
            </w:r>
          </w:p>
          <w:p w14:paraId="739C2936" w14:textId="77777777" w:rsidR="00D1379C" w:rsidRPr="00AF2839" w:rsidRDefault="006F12C1" w:rsidP="00437FA2">
            <w:pPr>
              <w:spacing w:before="120" w:after="120"/>
              <w:rPr>
                <w:b/>
                <w:szCs w:val="24"/>
              </w:rPr>
            </w:pPr>
            <w:r w:rsidRPr="00AF2839">
              <w:rPr>
                <w:szCs w:val="24"/>
              </w:rPr>
              <w:t>(</w:t>
            </w:r>
            <w:proofErr w:type="gramStart"/>
            <w:r w:rsidRPr="00AF2839">
              <w:rPr>
                <w:szCs w:val="24"/>
              </w:rPr>
              <w:t>2,500 character</w:t>
            </w:r>
            <w:proofErr w:type="gramEnd"/>
            <w:r w:rsidRPr="00AF2839">
              <w:rPr>
                <w:szCs w:val="24"/>
              </w:rPr>
              <w:t xml:space="preserve"> max)</w:t>
            </w:r>
          </w:p>
        </w:tc>
        <w:tc>
          <w:tcPr>
            <w:tcW w:w="6570" w:type="dxa"/>
          </w:tcPr>
          <w:p w14:paraId="48E5EF7B" w14:textId="77777777" w:rsidR="00D1379C" w:rsidRPr="006F12C1" w:rsidRDefault="006F12C1" w:rsidP="00437FA2">
            <w:pPr>
              <w:spacing w:before="120" w:after="120"/>
              <w:rPr>
                <w:b/>
                <w:szCs w:val="24"/>
              </w:rPr>
            </w:pPr>
            <w:r w:rsidRPr="006F12C1">
              <w:rPr>
                <w:rFonts w:eastAsia="Times New Roman" w:cs="Arial"/>
                <w:color w:val="000000"/>
                <w:szCs w:val="24"/>
              </w:rPr>
              <w:t xml:space="preserve">If applicable, describe how the Lead Applicant will work together to implement proposed activities in consortium with one or more </w:t>
            </w:r>
            <w:r w:rsidR="0062184C">
              <w:rPr>
                <w:rFonts w:eastAsia="Times New Roman" w:cs="Arial"/>
                <w:color w:val="000000"/>
                <w:szCs w:val="24"/>
              </w:rPr>
              <w:t>IHE</w:t>
            </w:r>
            <w:r w:rsidRPr="006F12C1">
              <w:rPr>
                <w:rFonts w:eastAsia="Times New Roman" w:cs="Arial"/>
                <w:color w:val="000000"/>
                <w:szCs w:val="24"/>
              </w:rPr>
              <w:t xml:space="preserve"> and/or nonprofit educational organization.</w:t>
            </w:r>
          </w:p>
        </w:tc>
      </w:tr>
      <w:tr w:rsidR="00D1379C" w:rsidRPr="00AF2839" w14:paraId="18366D51" w14:textId="77777777" w:rsidTr="00C93EC7">
        <w:trPr>
          <w:cantSplit/>
          <w:trHeight w:val="1673"/>
        </w:trPr>
        <w:tc>
          <w:tcPr>
            <w:tcW w:w="2942" w:type="dxa"/>
          </w:tcPr>
          <w:p w14:paraId="6BCA5716" w14:textId="77777777" w:rsidR="00D1379C" w:rsidRDefault="006F12C1" w:rsidP="00437FA2">
            <w:pPr>
              <w:spacing w:before="120" w:after="120"/>
              <w:rPr>
                <w:b/>
                <w:szCs w:val="24"/>
              </w:rPr>
            </w:pPr>
            <w:r>
              <w:rPr>
                <w:b/>
                <w:szCs w:val="24"/>
              </w:rPr>
              <w:lastRenderedPageBreak/>
              <w:t>Priority Points</w:t>
            </w:r>
            <w:r w:rsidRPr="00F534AA">
              <w:t>—</w:t>
            </w:r>
            <w:r w:rsidR="0035050A" w:rsidRPr="0035050A">
              <w:rPr>
                <w:rFonts w:cs="Arial"/>
                <w:b/>
                <w:szCs w:val="24"/>
              </w:rPr>
              <w:t xml:space="preserve"> IHE/Nonprofit</w:t>
            </w:r>
            <w:r w:rsidR="0035050A">
              <w:rPr>
                <w:rFonts w:cs="Arial"/>
                <w:szCs w:val="24"/>
              </w:rPr>
              <w:t xml:space="preserve"> </w:t>
            </w:r>
            <w:r>
              <w:rPr>
                <w:b/>
                <w:szCs w:val="24"/>
              </w:rPr>
              <w:t>Consortium Collaboration</w:t>
            </w:r>
          </w:p>
          <w:p w14:paraId="4C7BE180" w14:textId="77777777" w:rsidR="00EB7049" w:rsidRPr="009A6BE8" w:rsidRDefault="00EB7049" w:rsidP="00437FA2">
            <w:pPr>
              <w:spacing w:before="120" w:after="120"/>
              <w:rPr>
                <w:b/>
                <w:szCs w:val="24"/>
              </w:rPr>
            </w:pPr>
            <w:r w:rsidRPr="00EB7049">
              <w:rPr>
                <w:szCs w:val="24"/>
              </w:rPr>
              <w:t>(upload attachment)</w:t>
            </w:r>
          </w:p>
        </w:tc>
        <w:tc>
          <w:tcPr>
            <w:tcW w:w="6570" w:type="dxa"/>
          </w:tcPr>
          <w:p w14:paraId="4786C4BD" w14:textId="77777777" w:rsidR="00D1379C" w:rsidRPr="006F12C1" w:rsidRDefault="006F12C1" w:rsidP="00437FA2">
            <w:pPr>
              <w:spacing w:before="120" w:after="120"/>
              <w:rPr>
                <w:b/>
                <w:szCs w:val="24"/>
              </w:rPr>
            </w:pPr>
            <w:r w:rsidRPr="006F12C1">
              <w:rPr>
                <w:rFonts w:eastAsia="Times New Roman" w:cs="Arial"/>
                <w:color w:val="000000"/>
                <w:szCs w:val="24"/>
              </w:rPr>
              <w:t>If applicable, provide Letters of Commitment addressed to the Lead Applicant and signed by the LEA Superintendent in each participating LEA, the Dean of the specific department within an IHE, and/or the Chief Executive Officer of the nonprofit educational service provider</w:t>
            </w:r>
            <w:r>
              <w:rPr>
                <w:rFonts w:eastAsia="Times New Roman" w:cs="Arial"/>
                <w:color w:val="000000"/>
                <w:szCs w:val="24"/>
              </w:rPr>
              <w:t>.</w:t>
            </w:r>
          </w:p>
        </w:tc>
      </w:tr>
    </w:tbl>
    <w:p w14:paraId="30B1B4C5" w14:textId="1E33917B" w:rsidR="00A623B7" w:rsidRPr="00A623B7" w:rsidRDefault="00A623B7" w:rsidP="00A623B7">
      <w:pPr>
        <w:pStyle w:val="Heading4"/>
        <w:spacing w:before="240"/>
        <w:ind w:left="0"/>
      </w:pPr>
      <w:r w:rsidRPr="00A623B7">
        <w:t>Budget</w:t>
      </w:r>
    </w:p>
    <w:tbl>
      <w:tblPr>
        <w:tblStyle w:val="GridTable41"/>
        <w:tblW w:w="9512" w:type="dxa"/>
        <w:tblLayout w:type="fixed"/>
        <w:tblLook w:val="0620" w:firstRow="1" w:lastRow="0" w:firstColumn="0" w:lastColumn="0" w:noHBand="1" w:noVBand="1"/>
        <w:tblDescription w:val="Budget Table"/>
      </w:tblPr>
      <w:tblGrid>
        <w:gridCol w:w="2942"/>
        <w:gridCol w:w="6570"/>
      </w:tblGrid>
      <w:tr w:rsidR="00A623B7" w:rsidRPr="00AF2839" w14:paraId="12FD5027" w14:textId="77777777" w:rsidTr="00DE0DCE">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6908E" w14:textId="47DC7D15" w:rsidR="00A623B7" w:rsidRPr="00A623B7" w:rsidRDefault="00A623B7" w:rsidP="00A623B7">
            <w:pPr>
              <w:spacing w:before="120" w:after="120"/>
              <w:jc w:val="center"/>
              <w:rPr>
                <w:color w:val="auto"/>
                <w:szCs w:val="24"/>
              </w:rPr>
            </w:pPr>
            <w:r w:rsidRPr="00A623B7">
              <w:rPr>
                <w:color w:val="auto"/>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44EBC" w14:textId="03C056AE" w:rsidR="00A623B7" w:rsidRPr="00A623B7" w:rsidRDefault="00A623B7" w:rsidP="00A623B7">
            <w:pPr>
              <w:spacing w:before="120" w:after="120"/>
              <w:jc w:val="center"/>
              <w:rPr>
                <w:rFonts w:cs="Arial"/>
                <w:iCs/>
                <w:color w:val="auto"/>
                <w:szCs w:val="24"/>
              </w:rPr>
            </w:pPr>
            <w:r w:rsidRPr="00A623B7">
              <w:rPr>
                <w:rFonts w:cs="Arial"/>
                <w:iCs/>
                <w:color w:val="auto"/>
                <w:szCs w:val="24"/>
              </w:rPr>
              <w:t>Instructions</w:t>
            </w:r>
          </w:p>
        </w:tc>
      </w:tr>
      <w:tr w:rsidR="00D1379C" w:rsidRPr="00AF2839" w14:paraId="02FC734D" w14:textId="77777777" w:rsidTr="00A623B7">
        <w:trPr>
          <w:cantSplit/>
        </w:trPr>
        <w:tc>
          <w:tcPr>
            <w:tcW w:w="2942" w:type="dxa"/>
            <w:tcBorders>
              <w:top w:val="single" w:sz="4" w:space="0" w:color="auto"/>
            </w:tcBorders>
          </w:tcPr>
          <w:p w14:paraId="7B0C6A0E" w14:textId="77777777" w:rsidR="00D1379C" w:rsidRDefault="006F12C1" w:rsidP="00437FA2">
            <w:pPr>
              <w:spacing w:before="120" w:after="120"/>
              <w:rPr>
                <w:b/>
                <w:szCs w:val="24"/>
              </w:rPr>
            </w:pPr>
            <w:r>
              <w:rPr>
                <w:b/>
                <w:szCs w:val="24"/>
              </w:rPr>
              <w:t>Budget</w:t>
            </w:r>
          </w:p>
          <w:p w14:paraId="264D8CAE" w14:textId="77777777" w:rsidR="00EB7049" w:rsidRPr="009A6BE8" w:rsidRDefault="00EB7049" w:rsidP="00437FA2">
            <w:pPr>
              <w:spacing w:before="120" w:after="120"/>
              <w:rPr>
                <w:b/>
                <w:szCs w:val="24"/>
              </w:rPr>
            </w:pPr>
            <w:r w:rsidRPr="00EB7049">
              <w:rPr>
                <w:szCs w:val="24"/>
              </w:rPr>
              <w:t>(upload attachment)</w:t>
            </w:r>
          </w:p>
        </w:tc>
        <w:tc>
          <w:tcPr>
            <w:tcW w:w="6570" w:type="dxa"/>
            <w:tcBorders>
              <w:top w:val="single" w:sz="4" w:space="0" w:color="auto"/>
            </w:tcBorders>
          </w:tcPr>
          <w:p w14:paraId="081AB0C7" w14:textId="77777777" w:rsidR="00D1379C" w:rsidRPr="006F12C1" w:rsidRDefault="006F12C1" w:rsidP="00437FA2">
            <w:pPr>
              <w:spacing w:before="120" w:after="120"/>
              <w:rPr>
                <w:rFonts w:cs="Arial"/>
                <w:iCs/>
                <w:szCs w:val="24"/>
              </w:rPr>
            </w:pPr>
            <w:r w:rsidRPr="00F534AA">
              <w:rPr>
                <w:rFonts w:cs="Arial"/>
                <w:iCs/>
                <w:szCs w:val="24"/>
              </w:rPr>
              <w:t xml:space="preserve">Complete the </w:t>
            </w:r>
            <w:r w:rsidRPr="00F534AA">
              <w:rPr>
                <w:rFonts w:cs="Arial"/>
                <w:szCs w:val="24"/>
              </w:rPr>
              <w:t xml:space="preserve">RII </w:t>
            </w:r>
            <w:r w:rsidRPr="00F534AA">
              <w:rPr>
                <w:rFonts w:cs="Arial"/>
                <w:bCs/>
                <w:szCs w:val="24"/>
              </w:rPr>
              <w:t xml:space="preserve">Proposed Project Budget </w:t>
            </w:r>
            <w:r w:rsidRPr="00EC5E20">
              <w:rPr>
                <w:rFonts w:cs="Arial"/>
                <w:bCs/>
                <w:szCs w:val="24"/>
              </w:rPr>
              <w:t>Summary</w:t>
            </w:r>
            <w:r w:rsidR="00437FA2" w:rsidRPr="00EC5E20">
              <w:rPr>
                <w:rFonts w:cs="Arial"/>
                <w:bCs/>
                <w:szCs w:val="24"/>
              </w:rPr>
              <w:t xml:space="preserve"> (Form B)</w:t>
            </w:r>
            <w:r w:rsidR="00A42310" w:rsidRPr="00EC5E20">
              <w:rPr>
                <w:rFonts w:cs="Arial"/>
                <w:bCs/>
                <w:szCs w:val="24"/>
              </w:rPr>
              <w:t>,</w:t>
            </w:r>
            <w:r w:rsidR="00C34D2A" w:rsidRPr="00EC5E20">
              <w:rPr>
                <w:rFonts w:cs="Arial"/>
                <w:bCs/>
                <w:szCs w:val="24"/>
              </w:rPr>
              <w:t xml:space="preserve"> </w:t>
            </w:r>
            <w:r w:rsidRPr="00EC5E20">
              <w:rPr>
                <w:rFonts w:cs="Arial"/>
                <w:iCs/>
                <w:szCs w:val="24"/>
              </w:rPr>
              <w:t xml:space="preserve">including allowable costs </w:t>
            </w:r>
            <w:r w:rsidRPr="00EC5E20">
              <w:rPr>
                <w:rFonts w:cs="Arial"/>
                <w:bCs/>
                <w:szCs w:val="24"/>
              </w:rPr>
              <w:t>for the project’s perform</w:t>
            </w:r>
            <w:r w:rsidRPr="00F534AA">
              <w:rPr>
                <w:rFonts w:cs="Arial"/>
                <w:bCs/>
                <w:szCs w:val="24"/>
              </w:rPr>
              <w:t xml:space="preserve">ance period from </w:t>
            </w:r>
            <w:r w:rsidR="00BD2302">
              <w:rPr>
                <w:rFonts w:cs="Arial"/>
                <w:szCs w:val="24"/>
              </w:rPr>
              <w:t>April 1</w:t>
            </w:r>
            <w:r w:rsidRPr="00F534AA">
              <w:rPr>
                <w:rFonts w:cs="Arial"/>
                <w:szCs w:val="24"/>
              </w:rPr>
              <w:t>, 2022</w:t>
            </w:r>
            <w:r w:rsidR="006D0B1F">
              <w:rPr>
                <w:rFonts w:cs="Arial"/>
                <w:szCs w:val="24"/>
              </w:rPr>
              <w:t>,</w:t>
            </w:r>
            <w:r w:rsidRPr="00F534AA">
              <w:rPr>
                <w:rFonts w:cs="Arial"/>
                <w:szCs w:val="24"/>
              </w:rPr>
              <w:t xml:space="preserve"> through </w:t>
            </w:r>
            <w:r w:rsidR="00BD2302">
              <w:rPr>
                <w:rFonts w:cs="Arial"/>
                <w:szCs w:val="24"/>
              </w:rPr>
              <w:t xml:space="preserve">March </w:t>
            </w:r>
            <w:r w:rsidRPr="00F534AA">
              <w:rPr>
                <w:rFonts w:cs="Arial"/>
                <w:szCs w:val="24"/>
              </w:rPr>
              <w:t>30, 2026</w:t>
            </w:r>
            <w:r w:rsidRPr="00F534AA">
              <w:rPr>
                <w:rFonts w:cs="Arial"/>
                <w:iCs/>
                <w:szCs w:val="24"/>
              </w:rPr>
              <w:t xml:space="preserve">. </w:t>
            </w:r>
          </w:p>
        </w:tc>
      </w:tr>
      <w:tr w:rsidR="006F12C1" w:rsidRPr="00AF2839" w14:paraId="5FA96CA6" w14:textId="77777777" w:rsidTr="003E15BE">
        <w:trPr>
          <w:cantSplit/>
        </w:trPr>
        <w:tc>
          <w:tcPr>
            <w:tcW w:w="2942" w:type="dxa"/>
          </w:tcPr>
          <w:p w14:paraId="29DFFC82" w14:textId="77777777" w:rsidR="006F12C1" w:rsidRDefault="006F12C1" w:rsidP="00437FA2">
            <w:pPr>
              <w:spacing w:before="120" w:after="120"/>
              <w:rPr>
                <w:b/>
                <w:szCs w:val="24"/>
              </w:rPr>
            </w:pPr>
            <w:r>
              <w:rPr>
                <w:b/>
                <w:szCs w:val="24"/>
              </w:rPr>
              <w:t>Budget</w:t>
            </w:r>
          </w:p>
          <w:p w14:paraId="10E6CF2A" w14:textId="77777777" w:rsidR="00EB7049" w:rsidRPr="009A6BE8" w:rsidRDefault="00EB7049" w:rsidP="00437FA2">
            <w:pPr>
              <w:spacing w:before="120" w:after="120"/>
              <w:rPr>
                <w:b/>
                <w:szCs w:val="24"/>
              </w:rPr>
            </w:pPr>
            <w:r w:rsidRPr="00EB7049">
              <w:rPr>
                <w:szCs w:val="24"/>
              </w:rPr>
              <w:t>(upload attachment)</w:t>
            </w:r>
          </w:p>
        </w:tc>
        <w:tc>
          <w:tcPr>
            <w:tcW w:w="6570" w:type="dxa"/>
          </w:tcPr>
          <w:p w14:paraId="01A630C3" w14:textId="77777777" w:rsidR="006F12C1" w:rsidRPr="00437FA2" w:rsidRDefault="006F12C1" w:rsidP="00437FA2">
            <w:pPr>
              <w:pStyle w:val="BodyTextIndent3"/>
              <w:widowControl w:val="0"/>
              <w:tabs>
                <w:tab w:val="left" w:pos="-1440"/>
              </w:tabs>
              <w:spacing w:before="120"/>
              <w:ind w:left="0"/>
              <w:rPr>
                <w:rFonts w:cs="Arial"/>
                <w:iCs/>
                <w:sz w:val="24"/>
                <w:szCs w:val="24"/>
              </w:rPr>
            </w:pPr>
            <w:r w:rsidRPr="00F534AA">
              <w:rPr>
                <w:rFonts w:cs="Arial"/>
                <w:iCs/>
                <w:sz w:val="24"/>
                <w:szCs w:val="24"/>
              </w:rPr>
              <w:t xml:space="preserve">Provide a detailed explanation on the RII Project Budget </w:t>
            </w:r>
            <w:r w:rsidRPr="00EC5E20">
              <w:rPr>
                <w:rFonts w:cs="Arial"/>
                <w:iCs/>
                <w:sz w:val="24"/>
                <w:szCs w:val="24"/>
              </w:rPr>
              <w:t>Narrative</w:t>
            </w:r>
            <w:r w:rsidR="00437FA2" w:rsidRPr="00EC5E20">
              <w:rPr>
                <w:rFonts w:cs="Arial"/>
                <w:iCs/>
                <w:sz w:val="24"/>
                <w:szCs w:val="24"/>
              </w:rPr>
              <w:t xml:space="preserve"> (Form C)</w:t>
            </w:r>
            <w:r w:rsidRPr="00EC5E20">
              <w:rPr>
                <w:rFonts w:cs="Arial"/>
                <w:iCs/>
                <w:sz w:val="24"/>
                <w:szCs w:val="24"/>
              </w:rPr>
              <w:t xml:space="preserve"> for</w:t>
            </w:r>
            <w:r w:rsidRPr="00F534AA">
              <w:rPr>
                <w:rFonts w:cs="Arial"/>
                <w:iCs/>
                <w:sz w:val="24"/>
                <w:szCs w:val="24"/>
              </w:rPr>
              <w:t xml:space="preserve"> each line</w:t>
            </w:r>
            <w:r w:rsidR="0062184C">
              <w:rPr>
                <w:rFonts w:cs="Arial"/>
                <w:iCs/>
                <w:sz w:val="24"/>
                <w:szCs w:val="24"/>
              </w:rPr>
              <w:t xml:space="preserve"> </w:t>
            </w:r>
            <w:r w:rsidRPr="00F534AA">
              <w:rPr>
                <w:rFonts w:cs="Arial"/>
                <w:iCs/>
                <w:sz w:val="24"/>
                <w:szCs w:val="24"/>
              </w:rPr>
              <w:t xml:space="preserve">item included in the five-year performance period. The narrative should include a description of how the proposed costs to implement the </w:t>
            </w:r>
            <w:r w:rsidRPr="00F534AA">
              <w:rPr>
                <w:rFonts w:cs="Arial"/>
                <w:sz w:val="24"/>
                <w:szCs w:val="24"/>
              </w:rPr>
              <w:t>proposed project</w:t>
            </w:r>
            <w:r w:rsidRPr="00F534AA">
              <w:rPr>
                <w:rFonts w:cs="Arial"/>
                <w:bCs/>
                <w:sz w:val="24"/>
                <w:szCs w:val="24"/>
              </w:rPr>
              <w:t xml:space="preserve"> </w:t>
            </w:r>
            <w:r w:rsidRPr="00F534AA">
              <w:rPr>
                <w:rFonts w:cs="Arial"/>
                <w:iCs/>
                <w:sz w:val="24"/>
                <w:szCs w:val="24"/>
              </w:rPr>
              <w:t xml:space="preserve">are necessary and reasonable in terms of project activities, benefits to participants, and project outcomes. </w:t>
            </w:r>
          </w:p>
        </w:tc>
      </w:tr>
    </w:tbl>
    <w:p w14:paraId="01BA04E9" w14:textId="77777777" w:rsidR="009E3B7F" w:rsidRPr="002E126B" w:rsidRDefault="009E3B7F" w:rsidP="00C93EC7">
      <w:pPr>
        <w:pStyle w:val="Heading4"/>
        <w:spacing w:before="240"/>
        <w:ind w:left="0"/>
      </w:pPr>
      <w:bookmarkStart w:id="104" w:name="_Toc83900994"/>
      <w:bookmarkStart w:id="105" w:name="_Toc86663646"/>
      <w:r w:rsidRPr="002E126B">
        <w:t>Electronic Signature</w:t>
      </w:r>
      <w:bookmarkEnd w:id="104"/>
      <w:bookmarkEnd w:id="105"/>
    </w:p>
    <w:tbl>
      <w:tblPr>
        <w:tblStyle w:val="TableGrid"/>
        <w:tblW w:w="9512" w:type="dxa"/>
        <w:tblLayout w:type="fixed"/>
        <w:tblLook w:val="04A0" w:firstRow="1" w:lastRow="0" w:firstColumn="1" w:lastColumn="0" w:noHBand="0" w:noVBand="1"/>
        <w:tblDescription w:val="Electronic Signature Table"/>
      </w:tblPr>
      <w:tblGrid>
        <w:gridCol w:w="2942"/>
        <w:gridCol w:w="6570"/>
      </w:tblGrid>
      <w:tr w:rsidR="00F05DFE" w:rsidRPr="00F05DFE" w14:paraId="356A0A8B" w14:textId="77777777" w:rsidTr="00DE0DCE">
        <w:trPr>
          <w:cantSplit/>
          <w:tblHeader/>
        </w:trPr>
        <w:tc>
          <w:tcPr>
            <w:tcW w:w="2942" w:type="dxa"/>
            <w:shd w:val="clear" w:color="auto" w:fill="D9D9D9" w:themeFill="background1" w:themeFillShade="D9"/>
          </w:tcPr>
          <w:p w14:paraId="585B0D19" w14:textId="77777777" w:rsidR="009E3B7F" w:rsidRPr="00F05DFE" w:rsidRDefault="009E3B7F" w:rsidP="003F529F">
            <w:pPr>
              <w:spacing w:before="120" w:after="120"/>
              <w:jc w:val="center"/>
              <w:rPr>
                <w:b/>
              </w:rPr>
            </w:pPr>
            <w:r w:rsidRPr="00F05DFE">
              <w:rPr>
                <w:b/>
              </w:rPr>
              <w:t>Application Field</w:t>
            </w:r>
          </w:p>
        </w:tc>
        <w:tc>
          <w:tcPr>
            <w:tcW w:w="6570" w:type="dxa"/>
            <w:shd w:val="clear" w:color="auto" w:fill="D9D9D9" w:themeFill="background1" w:themeFillShade="D9"/>
          </w:tcPr>
          <w:p w14:paraId="3812699A" w14:textId="77777777" w:rsidR="009E3B7F" w:rsidRPr="00F05DFE" w:rsidRDefault="009E3B7F" w:rsidP="003F529F">
            <w:pPr>
              <w:spacing w:before="120" w:after="120"/>
              <w:jc w:val="center"/>
              <w:rPr>
                <w:b/>
              </w:rPr>
            </w:pPr>
            <w:r w:rsidRPr="00F05DFE">
              <w:rPr>
                <w:b/>
              </w:rPr>
              <w:t>Instructions</w:t>
            </w:r>
          </w:p>
        </w:tc>
      </w:tr>
      <w:tr w:rsidR="009E3B7F" w:rsidRPr="00AF2839" w14:paraId="25FFF935" w14:textId="77777777" w:rsidTr="003E15BE">
        <w:tc>
          <w:tcPr>
            <w:tcW w:w="2942" w:type="dxa"/>
          </w:tcPr>
          <w:p w14:paraId="402348EB" w14:textId="77777777" w:rsidR="009E3B7F" w:rsidRPr="00F41649" w:rsidRDefault="005D4A73" w:rsidP="00437FA2">
            <w:pPr>
              <w:spacing w:before="120" w:after="120"/>
              <w:rPr>
                <w:b/>
              </w:rPr>
            </w:pPr>
            <w:r>
              <w:rPr>
                <w:b/>
                <w:szCs w:val="24"/>
              </w:rPr>
              <w:t xml:space="preserve">Project </w:t>
            </w:r>
            <w:r w:rsidR="009E3B7F" w:rsidRPr="00F41649">
              <w:rPr>
                <w:b/>
                <w:szCs w:val="24"/>
              </w:rPr>
              <w:t>Statement of Assurances</w:t>
            </w:r>
          </w:p>
        </w:tc>
        <w:tc>
          <w:tcPr>
            <w:tcW w:w="6570" w:type="dxa"/>
          </w:tcPr>
          <w:p w14:paraId="24B131B8" w14:textId="77777777" w:rsidR="009E3B7F" w:rsidRPr="00AF2839" w:rsidRDefault="009E3B7F" w:rsidP="00437FA2">
            <w:pPr>
              <w:spacing w:before="120" w:after="120"/>
              <w:rPr>
                <w:szCs w:val="24"/>
              </w:rPr>
            </w:pPr>
            <w:r w:rsidRPr="00AF2839">
              <w:rPr>
                <w:szCs w:val="24"/>
              </w:rPr>
              <w:t>Please select the checkbox to declare:</w:t>
            </w:r>
          </w:p>
          <w:p w14:paraId="3CCD2B39" w14:textId="77777777" w:rsidR="009E3B7F" w:rsidRPr="00AF2839" w:rsidRDefault="009E3B7F" w:rsidP="00437FA2">
            <w:pPr>
              <w:spacing w:before="120" w:after="120"/>
            </w:pPr>
            <w:r w:rsidRPr="00AF2839">
              <w:rPr>
                <w:szCs w:val="24"/>
              </w:rPr>
              <w:t xml:space="preserve">I have reviewed the </w:t>
            </w:r>
            <w:r w:rsidR="000D75A6">
              <w:rPr>
                <w:szCs w:val="24"/>
              </w:rPr>
              <w:t>RII</w:t>
            </w:r>
            <w:r w:rsidR="005D4A73">
              <w:rPr>
                <w:szCs w:val="24"/>
              </w:rPr>
              <w:t xml:space="preserve"> Lead Applicant</w:t>
            </w:r>
            <w:r w:rsidRPr="00AF2839">
              <w:rPr>
                <w:szCs w:val="24"/>
              </w:rPr>
              <w:t xml:space="preserve"> Statement of Assurances </w:t>
            </w:r>
            <w:r w:rsidR="00175A6C">
              <w:rPr>
                <w:szCs w:val="24"/>
              </w:rPr>
              <w:t xml:space="preserve">(Form A) </w:t>
            </w:r>
            <w:r w:rsidRPr="00AF2839">
              <w:rPr>
                <w:szCs w:val="24"/>
              </w:rPr>
              <w:t>and hereby certify that each of the requirements contained therein will be met.</w:t>
            </w:r>
          </w:p>
        </w:tc>
      </w:tr>
      <w:tr w:rsidR="009E3B7F" w:rsidRPr="00AF2839" w14:paraId="6C906F12" w14:textId="77777777" w:rsidTr="003E15BE">
        <w:tc>
          <w:tcPr>
            <w:tcW w:w="2942" w:type="dxa"/>
          </w:tcPr>
          <w:p w14:paraId="68083560" w14:textId="77777777" w:rsidR="009E3B7F" w:rsidRPr="00F41649" w:rsidRDefault="009E3B7F" w:rsidP="00437FA2">
            <w:pPr>
              <w:spacing w:before="120" w:after="120"/>
              <w:rPr>
                <w:b/>
                <w:szCs w:val="24"/>
              </w:rPr>
            </w:pPr>
            <w:r w:rsidRPr="00F41649">
              <w:rPr>
                <w:b/>
                <w:szCs w:val="24"/>
              </w:rPr>
              <w:t>Signature by Authorizing Official</w:t>
            </w:r>
          </w:p>
        </w:tc>
        <w:tc>
          <w:tcPr>
            <w:tcW w:w="6570" w:type="dxa"/>
          </w:tcPr>
          <w:p w14:paraId="1DF49CE3" w14:textId="77777777" w:rsidR="009E3B7F" w:rsidRPr="00AF2839" w:rsidRDefault="009E3B7F" w:rsidP="00437FA2">
            <w:pPr>
              <w:spacing w:before="120" w:after="120"/>
              <w:rPr>
                <w:szCs w:val="24"/>
              </w:rPr>
            </w:pPr>
            <w:r w:rsidRPr="00AF2839">
              <w:rPr>
                <w:szCs w:val="24"/>
              </w:rPr>
              <w:t xml:space="preserve">The authorizing official should type their name in the field which will serve as a signature that certifies agreement with the statement below. </w:t>
            </w:r>
          </w:p>
          <w:p w14:paraId="4C33715A" w14:textId="77777777" w:rsidR="009E3B7F" w:rsidRPr="00AF2839" w:rsidRDefault="009E3B7F" w:rsidP="00437FA2">
            <w:pPr>
              <w:spacing w:before="120" w:after="120"/>
              <w:rPr>
                <w:szCs w:val="24"/>
              </w:rPr>
            </w:pPr>
            <w:r w:rsidRPr="00AF2839">
              <w:rPr>
                <w:szCs w:val="24"/>
              </w:rPr>
              <w:t>I hereby certify that, to the best of my knowledge, the information in this application is correct and complete. I support the proposed project and commit my organization to completing all of the tasks and activities that are described in the application.</w:t>
            </w:r>
          </w:p>
        </w:tc>
      </w:tr>
    </w:tbl>
    <w:p w14:paraId="7C01FC86" w14:textId="0C1D46B5" w:rsidR="009E3B7F" w:rsidRPr="00A623B7" w:rsidRDefault="009E3B7F" w:rsidP="00C93EC7">
      <w:pPr>
        <w:pStyle w:val="Heading4"/>
        <w:ind w:left="0"/>
      </w:pPr>
      <w:bookmarkStart w:id="106" w:name="_Toc83900995"/>
      <w:bookmarkStart w:id="107" w:name="_Toc86663647"/>
      <w:r w:rsidRPr="002E126B">
        <w:lastRenderedPageBreak/>
        <w:t>Attachment Instructions</w:t>
      </w:r>
      <w:bookmarkEnd w:id="106"/>
      <w:bookmarkEnd w:id="107"/>
    </w:p>
    <w:p w14:paraId="73418B99" w14:textId="664E8D03" w:rsidR="00D5319F" w:rsidRDefault="00161782" w:rsidP="00BD29EE">
      <w:pPr>
        <w:sectPr w:rsidR="00D5319F" w:rsidSect="00A514E8">
          <w:headerReference w:type="default" r:id="rId52"/>
          <w:footerReference w:type="default" r:id="rId53"/>
          <w:pgSz w:w="12240" w:h="15840"/>
          <w:pgMar w:top="1440" w:right="1440" w:bottom="1440" w:left="1440" w:header="720" w:footer="720" w:gutter="0"/>
          <w:cols w:space="720"/>
          <w:docGrid w:linePitch="360"/>
        </w:sectPr>
      </w:pPr>
      <w:r w:rsidRPr="00AC7BF7">
        <w:rPr>
          <w:rFonts w:cs="Arial"/>
          <w:color w:val="000000"/>
        </w:rPr>
        <w:t xml:space="preserve">Required attachments will be requested at the end of the online application. Applicants are required to upload the </w:t>
      </w:r>
      <w:r w:rsidR="000D75A6" w:rsidRPr="00AC7BF7">
        <w:rPr>
          <w:rFonts w:cs="Arial"/>
          <w:szCs w:val="24"/>
        </w:rPr>
        <w:t>RII</w:t>
      </w:r>
      <w:r w:rsidR="00CB2A0A" w:rsidRPr="00AC7BF7">
        <w:rPr>
          <w:rFonts w:cs="Arial"/>
          <w:szCs w:val="24"/>
        </w:rPr>
        <w:t xml:space="preserve"> </w:t>
      </w:r>
      <w:r w:rsidRPr="00AC7BF7">
        <w:rPr>
          <w:rFonts w:cs="Arial"/>
          <w:color w:val="000000"/>
        </w:rPr>
        <w:t>Proposed Budget</w:t>
      </w:r>
      <w:r w:rsidR="00BF38DB" w:rsidRPr="00AC7BF7">
        <w:rPr>
          <w:rFonts w:cs="Arial"/>
          <w:color w:val="000000"/>
        </w:rPr>
        <w:t>,</w:t>
      </w:r>
      <w:r w:rsidRPr="00AC7BF7">
        <w:rPr>
          <w:rFonts w:cs="Arial"/>
          <w:color w:val="000000"/>
        </w:rPr>
        <w:t xml:space="preserve"> Letters of Commitment</w:t>
      </w:r>
      <w:r w:rsidR="00BF38DB" w:rsidRPr="00AC7BF7">
        <w:rPr>
          <w:rFonts w:cs="Arial"/>
          <w:color w:val="000000"/>
        </w:rPr>
        <w:t xml:space="preserve">, and </w:t>
      </w:r>
      <w:r w:rsidR="004644CE" w:rsidRPr="00AC7BF7">
        <w:rPr>
          <w:rFonts w:cs="Arial"/>
          <w:color w:val="000000"/>
        </w:rPr>
        <w:t>P</w:t>
      </w:r>
      <w:r w:rsidR="00BF38DB" w:rsidRPr="00AC7BF7">
        <w:rPr>
          <w:rFonts w:cs="Arial"/>
          <w:color w:val="000000"/>
        </w:rPr>
        <w:t xml:space="preserve">roject </w:t>
      </w:r>
      <w:r w:rsidR="004644CE" w:rsidRPr="00AC7BF7">
        <w:rPr>
          <w:rFonts w:cs="Arial"/>
          <w:color w:val="000000"/>
        </w:rPr>
        <w:t>T</w:t>
      </w:r>
      <w:r w:rsidR="00BF38DB" w:rsidRPr="00AC7BF7">
        <w:rPr>
          <w:rFonts w:cs="Arial"/>
          <w:color w:val="000000"/>
        </w:rPr>
        <w:t>imeline</w:t>
      </w:r>
      <w:r w:rsidRPr="00AC7BF7">
        <w:rPr>
          <w:rFonts w:cs="Arial"/>
          <w:color w:val="000000"/>
        </w:rPr>
        <w:t xml:space="preserve"> into the online application system. These files should be saved into a single zip file for uploading into the system as only one file can be uploaded per applicant. No additional information included in the zip file will be reviewed. The zip file size limit is 20MB</w:t>
      </w:r>
      <w:bookmarkStart w:id="108" w:name="_Toc83900996"/>
      <w:r w:rsidR="00AB0DBD">
        <w:rPr>
          <w:rFonts w:cs="Arial"/>
          <w:color w:val="000000"/>
        </w:rPr>
        <w:t>.</w:t>
      </w:r>
    </w:p>
    <w:p w14:paraId="34957494" w14:textId="77777777" w:rsidR="00DB29FD" w:rsidRDefault="00BA62CD" w:rsidP="00476013">
      <w:pPr>
        <w:pStyle w:val="Heading3"/>
        <w:numPr>
          <w:ilvl w:val="0"/>
          <w:numId w:val="0"/>
        </w:numPr>
        <w:jc w:val="center"/>
      </w:pPr>
      <w:bookmarkStart w:id="109" w:name="_Toc86663648"/>
      <w:bookmarkStart w:id="110" w:name="_Toc89072212"/>
      <w:bookmarkStart w:id="111" w:name="_Toc89072309"/>
      <w:r>
        <w:lastRenderedPageBreak/>
        <w:t>Appendix</w:t>
      </w:r>
      <w:r w:rsidR="00DB29FD">
        <w:t xml:space="preserve"> </w:t>
      </w:r>
      <w:r w:rsidR="00CB1313">
        <w:t>B</w:t>
      </w:r>
      <w:r w:rsidR="00DB29FD">
        <w:t>: Budget Categories</w:t>
      </w:r>
      <w:bookmarkEnd w:id="108"/>
      <w:bookmarkEnd w:id="109"/>
      <w:bookmarkEnd w:id="110"/>
      <w:bookmarkEnd w:id="111"/>
    </w:p>
    <w:p w14:paraId="06A43FC0" w14:textId="754781E6" w:rsidR="00702249" w:rsidRPr="00702249" w:rsidRDefault="00702249" w:rsidP="00702249">
      <w:pPr>
        <w:pStyle w:val="Heading4"/>
        <w:ind w:left="0"/>
      </w:pPr>
      <w:r w:rsidRPr="00702249">
        <w:t>Budget Categories</w:t>
      </w:r>
    </w:p>
    <w:p w14:paraId="7610CC86" w14:textId="6AE375FD" w:rsidR="000C3722" w:rsidRDefault="00DB29FD" w:rsidP="00F95C25">
      <w:r>
        <w:t>Each budget category is described below.</w:t>
      </w:r>
    </w:p>
    <w:tbl>
      <w:tblPr>
        <w:tblStyle w:val="TableGrid"/>
        <w:tblW w:w="0" w:type="auto"/>
        <w:tblLook w:val="04A0" w:firstRow="1" w:lastRow="0" w:firstColumn="1" w:lastColumn="0" w:noHBand="0" w:noVBand="1"/>
        <w:tblDescription w:val="Budget Categories"/>
      </w:tblPr>
      <w:tblGrid>
        <w:gridCol w:w="2155"/>
        <w:gridCol w:w="7195"/>
      </w:tblGrid>
      <w:tr w:rsidR="0086652B" w14:paraId="32D5B17E" w14:textId="77777777" w:rsidTr="00C93EC7">
        <w:trPr>
          <w:cantSplit/>
          <w:tblHeader/>
        </w:trPr>
        <w:tc>
          <w:tcPr>
            <w:tcW w:w="2155" w:type="dxa"/>
            <w:shd w:val="clear" w:color="auto" w:fill="D9D9D9" w:themeFill="background1" w:themeFillShade="D9"/>
          </w:tcPr>
          <w:p w14:paraId="452CEE7D" w14:textId="5F918531" w:rsidR="0086652B" w:rsidRDefault="0086652B" w:rsidP="0086652B">
            <w:pPr>
              <w:spacing w:before="120"/>
              <w:jc w:val="center"/>
            </w:pPr>
            <w:r w:rsidRPr="00224B13">
              <w:rPr>
                <w:b/>
              </w:rPr>
              <w:t>Object Code</w:t>
            </w:r>
          </w:p>
        </w:tc>
        <w:tc>
          <w:tcPr>
            <w:tcW w:w="7195" w:type="dxa"/>
            <w:shd w:val="clear" w:color="auto" w:fill="D9D9D9" w:themeFill="background1" w:themeFillShade="D9"/>
          </w:tcPr>
          <w:p w14:paraId="67C605B4" w14:textId="6CAF9106" w:rsidR="0086652B" w:rsidRDefault="0086652B" w:rsidP="0086652B">
            <w:pPr>
              <w:spacing w:before="120"/>
              <w:jc w:val="center"/>
            </w:pPr>
            <w:r w:rsidRPr="00224B13">
              <w:rPr>
                <w:b/>
              </w:rPr>
              <w:t>Description</w:t>
            </w:r>
          </w:p>
        </w:tc>
      </w:tr>
      <w:tr w:rsidR="0086652B" w14:paraId="250BFCA5" w14:textId="77777777" w:rsidTr="00C93EC7">
        <w:trPr>
          <w:cantSplit/>
        </w:trPr>
        <w:tc>
          <w:tcPr>
            <w:tcW w:w="2155" w:type="dxa"/>
          </w:tcPr>
          <w:p w14:paraId="4B070637" w14:textId="265B866C" w:rsidR="0086652B" w:rsidRDefault="0086652B" w:rsidP="00DD1AB8">
            <w:pPr>
              <w:spacing w:before="120" w:after="120"/>
            </w:pPr>
            <w:r w:rsidRPr="00224B13">
              <w:t>1000</w:t>
            </w:r>
          </w:p>
        </w:tc>
        <w:tc>
          <w:tcPr>
            <w:tcW w:w="7195" w:type="dxa"/>
          </w:tcPr>
          <w:p w14:paraId="20409ECD" w14:textId="77777777" w:rsidR="0086652B" w:rsidRPr="00224B13" w:rsidRDefault="0086652B" w:rsidP="0086652B">
            <w:pPr>
              <w:pStyle w:val="TableParagraph"/>
              <w:tabs>
                <w:tab w:val="left" w:pos="9990"/>
                <w:tab w:val="left" w:pos="10080"/>
              </w:tabs>
              <w:spacing w:before="120" w:after="120" w:line="240" w:lineRule="auto"/>
              <w:ind w:left="0" w:right="0"/>
              <w:rPr>
                <w:b/>
                <w:sz w:val="24"/>
              </w:rPr>
            </w:pPr>
            <w:r w:rsidRPr="00224B13">
              <w:rPr>
                <w:b/>
                <w:sz w:val="24"/>
              </w:rPr>
              <w:t>Certificated Salaries</w:t>
            </w:r>
          </w:p>
          <w:p w14:paraId="6A18CF79" w14:textId="77777777" w:rsidR="0086652B" w:rsidRPr="00224B13" w:rsidRDefault="0086652B" w:rsidP="0086652B">
            <w:pPr>
              <w:spacing w:before="120" w:after="120"/>
            </w:pPr>
            <w:r w:rsidRPr="00224B13">
              <w:t xml:space="preserve">Certificated salaries are salaries that require a credential or permit issued by the California Commission on Teacher Credentialing (CTC). List all certificated project employees, including percentage or fraction of full-time equivalent (FTE) and rate of pay per day, month, and/or annual salary. </w:t>
            </w:r>
          </w:p>
          <w:p w14:paraId="678644D8" w14:textId="54DC4D37" w:rsidR="0086652B" w:rsidRDefault="0086652B" w:rsidP="0086652B">
            <w:r w:rsidRPr="00224B13">
              <w:t>Note: Funds in this category are not intended to supplant current fixed costs.</w:t>
            </w:r>
          </w:p>
        </w:tc>
      </w:tr>
      <w:tr w:rsidR="0086652B" w14:paraId="281FDD59" w14:textId="77777777" w:rsidTr="00C93EC7">
        <w:trPr>
          <w:cantSplit/>
        </w:trPr>
        <w:tc>
          <w:tcPr>
            <w:tcW w:w="2155" w:type="dxa"/>
          </w:tcPr>
          <w:p w14:paraId="57E8082D" w14:textId="228B2547" w:rsidR="0086652B" w:rsidRDefault="0086652B" w:rsidP="00DD1AB8">
            <w:pPr>
              <w:spacing w:before="120" w:after="120"/>
            </w:pPr>
            <w:r w:rsidRPr="005B144A">
              <w:t>2000</w:t>
            </w:r>
          </w:p>
        </w:tc>
        <w:tc>
          <w:tcPr>
            <w:tcW w:w="7195" w:type="dxa"/>
          </w:tcPr>
          <w:p w14:paraId="4F21D6A8" w14:textId="77777777" w:rsidR="0086652B" w:rsidRPr="00224B13" w:rsidRDefault="0086652B" w:rsidP="0086652B">
            <w:pPr>
              <w:pStyle w:val="TableParagraph"/>
              <w:tabs>
                <w:tab w:val="left" w:pos="9990"/>
                <w:tab w:val="left" w:pos="10080"/>
              </w:tabs>
              <w:spacing w:before="120" w:after="120" w:line="240" w:lineRule="auto"/>
              <w:ind w:left="0" w:right="0"/>
              <w:rPr>
                <w:b/>
                <w:sz w:val="24"/>
              </w:rPr>
            </w:pPr>
            <w:r w:rsidRPr="00224B13">
              <w:rPr>
                <w:b/>
                <w:sz w:val="24"/>
              </w:rPr>
              <w:t>Classified Salaries</w:t>
            </w:r>
          </w:p>
          <w:p w14:paraId="6034B7E8" w14:textId="77777777" w:rsidR="0086652B" w:rsidRPr="005B144A" w:rsidRDefault="0086652B" w:rsidP="0086652B">
            <w:pPr>
              <w:pStyle w:val="TableParagraph"/>
              <w:tabs>
                <w:tab w:val="left" w:pos="9990"/>
                <w:tab w:val="left" w:pos="10080"/>
              </w:tabs>
              <w:spacing w:before="120" w:after="120" w:line="240" w:lineRule="auto"/>
              <w:ind w:left="0" w:right="0"/>
              <w:rPr>
                <w:sz w:val="24"/>
              </w:rPr>
            </w:pPr>
            <w:r w:rsidRPr="005B144A">
              <w:rPr>
                <w:sz w:val="24"/>
              </w:rPr>
              <w:t xml:space="preserve">Classified salaries are salaries for services that do not require a credential or permit issued by the CTC. List all classified project employees, including percentage of FTE, and rate of pay per day, month, and/or year. </w:t>
            </w:r>
          </w:p>
          <w:p w14:paraId="7B8E9610" w14:textId="6180270E" w:rsidR="0086652B" w:rsidRDefault="0086652B" w:rsidP="0086652B">
            <w:r w:rsidRPr="005B144A">
              <w:t>Note: Funds in this category are not intended to supplant current fixed costs.</w:t>
            </w:r>
          </w:p>
        </w:tc>
      </w:tr>
      <w:tr w:rsidR="0086652B" w14:paraId="5F40C169" w14:textId="77777777" w:rsidTr="00C93EC7">
        <w:trPr>
          <w:cantSplit/>
        </w:trPr>
        <w:tc>
          <w:tcPr>
            <w:tcW w:w="2155" w:type="dxa"/>
          </w:tcPr>
          <w:p w14:paraId="697B6AC8" w14:textId="0C6733E2" w:rsidR="0086652B" w:rsidRDefault="0086652B" w:rsidP="00DD1AB8">
            <w:pPr>
              <w:spacing w:before="120" w:after="120"/>
            </w:pPr>
            <w:r w:rsidRPr="005B144A">
              <w:t>3000</w:t>
            </w:r>
          </w:p>
        </w:tc>
        <w:tc>
          <w:tcPr>
            <w:tcW w:w="7195" w:type="dxa"/>
          </w:tcPr>
          <w:p w14:paraId="6E3E18E0" w14:textId="77777777" w:rsidR="0086652B" w:rsidRPr="00224B13" w:rsidRDefault="0086652B" w:rsidP="0086652B">
            <w:pPr>
              <w:pStyle w:val="TableParagraph"/>
              <w:tabs>
                <w:tab w:val="left" w:pos="9990"/>
                <w:tab w:val="left" w:pos="10080"/>
              </w:tabs>
              <w:spacing w:before="120" w:after="120" w:line="240" w:lineRule="auto"/>
              <w:ind w:left="0" w:right="0"/>
              <w:rPr>
                <w:b/>
                <w:sz w:val="24"/>
              </w:rPr>
            </w:pPr>
            <w:r w:rsidRPr="00224B13">
              <w:rPr>
                <w:b/>
                <w:sz w:val="24"/>
              </w:rPr>
              <w:t>Employee Benefits</w:t>
            </w:r>
          </w:p>
          <w:p w14:paraId="3EBC777D" w14:textId="5F4D36EB" w:rsidR="0086652B" w:rsidRDefault="0086652B" w:rsidP="0086652B">
            <w:r w:rsidRPr="005B144A">
              <w:t>Record employer’s contributions to retirement plans and health and welfare benefits. List and include the percentage and dollar amount for each employee benefit being claimed.</w:t>
            </w:r>
          </w:p>
        </w:tc>
      </w:tr>
      <w:tr w:rsidR="00C93EC7" w14:paraId="5AA576BE" w14:textId="77777777" w:rsidTr="00C93EC7">
        <w:trPr>
          <w:cantSplit/>
        </w:trPr>
        <w:tc>
          <w:tcPr>
            <w:tcW w:w="2155" w:type="dxa"/>
          </w:tcPr>
          <w:p w14:paraId="2757A85D" w14:textId="77777777" w:rsidR="00C93EC7" w:rsidRDefault="00C93EC7" w:rsidP="00DD3133">
            <w:pPr>
              <w:spacing w:before="120" w:after="120"/>
            </w:pPr>
            <w:r w:rsidRPr="005B144A">
              <w:lastRenderedPageBreak/>
              <w:t>4000</w:t>
            </w:r>
          </w:p>
        </w:tc>
        <w:tc>
          <w:tcPr>
            <w:tcW w:w="7195" w:type="dxa"/>
          </w:tcPr>
          <w:p w14:paraId="68E2C46F" w14:textId="77777777" w:rsidR="00C93EC7" w:rsidRPr="005B144A" w:rsidRDefault="00C93EC7" w:rsidP="00DD3133">
            <w:pPr>
              <w:pStyle w:val="TableParagraph"/>
              <w:tabs>
                <w:tab w:val="left" w:pos="9990"/>
                <w:tab w:val="left" w:pos="10080"/>
              </w:tabs>
              <w:spacing w:before="120" w:after="120" w:line="240" w:lineRule="auto"/>
              <w:ind w:left="0" w:right="0"/>
              <w:rPr>
                <w:b/>
                <w:sz w:val="24"/>
              </w:rPr>
            </w:pPr>
            <w:r w:rsidRPr="005B144A">
              <w:rPr>
                <w:b/>
                <w:sz w:val="24"/>
              </w:rPr>
              <w:t>Books and Supplies</w:t>
            </w:r>
          </w:p>
          <w:p w14:paraId="5E96CF8F" w14:textId="77777777" w:rsidR="00C93EC7" w:rsidRDefault="00C93EC7" w:rsidP="00DD3133">
            <w:r w:rsidRPr="005B144A">
              <w:t>Record expenditures for books, supplies, and other non-capitalized property/equipment (movable personal property of a relatively permanent nature that has an estimated useful life greater than one year and an acquisition cost less than the LEA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C93EC7" w14:paraId="22DE7191" w14:textId="77777777" w:rsidTr="00C93EC7">
        <w:trPr>
          <w:cantSplit/>
        </w:trPr>
        <w:tc>
          <w:tcPr>
            <w:tcW w:w="2155" w:type="dxa"/>
          </w:tcPr>
          <w:p w14:paraId="18C9300A" w14:textId="77777777" w:rsidR="00C93EC7" w:rsidRDefault="00C93EC7" w:rsidP="00DD3133">
            <w:pPr>
              <w:spacing w:before="120" w:after="120"/>
            </w:pPr>
            <w:r w:rsidRPr="005B144A">
              <w:t>5000</w:t>
            </w:r>
          </w:p>
        </w:tc>
        <w:tc>
          <w:tcPr>
            <w:tcW w:w="7195" w:type="dxa"/>
          </w:tcPr>
          <w:p w14:paraId="7944C160" w14:textId="77777777" w:rsidR="00C93EC7" w:rsidRPr="005B144A" w:rsidRDefault="00C93EC7" w:rsidP="00DD3133">
            <w:pPr>
              <w:pStyle w:val="TableParagraph"/>
              <w:tabs>
                <w:tab w:val="left" w:pos="9990"/>
                <w:tab w:val="left" w:pos="10080"/>
              </w:tabs>
              <w:spacing w:before="120" w:after="120" w:line="240" w:lineRule="auto"/>
              <w:ind w:left="0" w:right="0"/>
              <w:rPr>
                <w:b/>
                <w:sz w:val="24"/>
              </w:rPr>
            </w:pPr>
            <w:r w:rsidRPr="005B144A">
              <w:rPr>
                <w:b/>
                <w:sz w:val="24"/>
              </w:rPr>
              <w:t>Services and Other Operating Expenditures</w:t>
            </w:r>
          </w:p>
          <w:p w14:paraId="5DBB8698" w14:textId="77777777" w:rsidR="00C93EC7" w:rsidRPr="005B144A" w:rsidRDefault="00C93EC7" w:rsidP="00DD3133">
            <w:pPr>
              <w:pStyle w:val="TableParagraph"/>
              <w:tabs>
                <w:tab w:val="left" w:pos="9990"/>
                <w:tab w:val="left" w:pos="10080"/>
              </w:tabs>
              <w:spacing w:before="120" w:after="120" w:line="240" w:lineRule="auto"/>
              <w:ind w:left="0" w:right="101"/>
              <w:rPr>
                <w:sz w:val="24"/>
              </w:rPr>
            </w:pPr>
            <w:r w:rsidRPr="005B144A">
              <w:rPr>
                <w:sz w:val="24"/>
              </w:rPr>
              <w:t>Record expenditures for services, rentals, leases, maintenance contracts, dues, travel, insurance, utilities, legal, and other operating expenditures.</w:t>
            </w:r>
          </w:p>
          <w:p w14:paraId="7E2765D5" w14:textId="77777777" w:rsidR="00C93EC7" w:rsidRPr="005B144A" w:rsidRDefault="00C93EC7" w:rsidP="00DD3133">
            <w:pPr>
              <w:pStyle w:val="TableParagraph"/>
              <w:tabs>
                <w:tab w:val="left" w:pos="9990"/>
                <w:tab w:val="left" w:pos="10080"/>
              </w:tabs>
              <w:spacing w:before="120" w:after="120" w:line="240" w:lineRule="auto"/>
              <w:ind w:left="0" w:right="101"/>
              <w:rPr>
                <w:sz w:val="24"/>
              </w:rPr>
            </w:pPr>
            <w:r w:rsidRPr="005B144A">
              <w:rPr>
                <w:sz w:val="24"/>
              </w:rPr>
              <w:t>Travel and Conference: Include expenditures incurred by and/or for employees and other representatives of the LEA for travel and conferences, including lodging, mileage, parking, bridge tolls, shuttles, taxis, and conference registration expenses necessary to meet the objectives of the program. Receipts are required to be kept on file by your agency for audit purposes. Bus transportation for students should be listed here.</w:t>
            </w:r>
          </w:p>
          <w:p w14:paraId="487A9CCE" w14:textId="77777777" w:rsidR="00C93EC7" w:rsidRDefault="00C93EC7" w:rsidP="00DD3133">
            <w:r w:rsidRPr="005B144A">
              <w:t>Contracting Services: Services provided to the school by outside contractors appear under this category. Identify what, when, and where the services(s) will be provided. Appropriate activities include conducting workshops, trainings, and technical assistance activities.</w:t>
            </w:r>
          </w:p>
        </w:tc>
      </w:tr>
      <w:tr w:rsidR="00C93EC7" w14:paraId="2A96CE68" w14:textId="77777777" w:rsidTr="00C93EC7">
        <w:trPr>
          <w:cantSplit/>
        </w:trPr>
        <w:tc>
          <w:tcPr>
            <w:tcW w:w="2155" w:type="dxa"/>
          </w:tcPr>
          <w:p w14:paraId="4AB77C46" w14:textId="77777777" w:rsidR="00C93EC7" w:rsidRDefault="00C93EC7" w:rsidP="00DD3133">
            <w:pPr>
              <w:spacing w:before="120" w:after="120"/>
            </w:pPr>
            <w:r w:rsidRPr="005B144A">
              <w:rPr>
                <w:szCs w:val="24"/>
              </w:rPr>
              <w:lastRenderedPageBreak/>
              <w:t>6000</w:t>
            </w:r>
          </w:p>
        </w:tc>
        <w:tc>
          <w:tcPr>
            <w:tcW w:w="7195" w:type="dxa"/>
          </w:tcPr>
          <w:p w14:paraId="7C2776E6" w14:textId="77777777" w:rsidR="00C93EC7" w:rsidRPr="005B144A" w:rsidRDefault="00C93EC7" w:rsidP="00DD3133">
            <w:pPr>
              <w:pStyle w:val="TableParagraph"/>
              <w:tabs>
                <w:tab w:val="left" w:pos="9990"/>
                <w:tab w:val="left" w:pos="10080"/>
              </w:tabs>
              <w:spacing w:before="120" w:after="120" w:line="240" w:lineRule="auto"/>
              <w:ind w:left="0" w:right="0"/>
              <w:rPr>
                <w:b/>
                <w:sz w:val="24"/>
                <w:szCs w:val="24"/>
              </w:rPr>
            </w:pPr>
            <w:r w:rsidRPr="005B144A">
              <w:rPr>
                <w:b/>
                <w:sz w:val="24"/>
                <w:szCs w:val="24"/>
              </w:rPr>
              <w:t>Capital Outlay</w:t>
            </w:r>
          </w:p>
          <w:p w14:paraId="11093DDC" w14:textId="77777777" w:rsidR="00C93EC7" w:rsidRDefault="00C93EC7" w:rsidP="00DD3133">
            <w:r w:rsidRPr="005B144A">
              <w:rPr>
                <w:szCs w:val="24"/>
              </w:rPr>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LEA’s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w:t>
            </w:r>
            <w:r w:rsidRPr="005B144A">
              <w:rPr>
                <w:spacing w:val="-1"/>
                <w:szCs w:val="24"/>
              </w:rPr>
              <w:t xml:space="preserve"> </w:t>
            </w:r>
            <w:r w:rsidRPr="005B144A">
              <w:rPr>
                <w:szCs w:val="24"/>
              </w:rPr>
              <w:t>buildings.</w:t>
            </w:r>
          </w:p>
        </w:tc>
      </w:tr>
      <w:tr w:rsidR="00C93EC7" w14:paraId="526C5252" w14:textId="77777777" w:rsidTr="00C93EC7">
        <w:trPr>
          <w:cantSplit/>
        </w:trPr>
        <w:tc>
          <w:tcPr>
            <w:tcW w:w="2155" w:type="dxa"/>
          </w:tcPr>
          <w:p w14:paraId="76792912" w14:textId="77777777" w:rsidR="00C93EC7" w:rsidRDefault="00C93EC7" w:rsidP="00DD3133">
            <w:pPr>
              <w:spacing w:before="120" w:after="120"/>
            </w:pPr>
            <w:r w:rsidRPr="005B144A">
              <w:rPr>
                <w:szCs w:val="24"/>
              </w:rPr>
              <w:t>7000</w:t>
            </w:r>
          </w:p>
        </w:tc>
        <w:tc>
          <w:tcPr>
            <w:tcW w:w="7195" w:type="dxa"/>
          </w:tcPr>
          <w:p w14:paraId="212987B5" w14:textId="77777777" w:rsidR="00C93EC7" w:rsidRPr="005B144A" w:rsidRDefault="00C93EC7" w:rsidP="00DD3133">
            <w:pPr>
              <w:pStyle w:val="TableParagraph"/>
              <w:tabs>
                <w:tab w:val="left" w:pos="9990"/>
                <w:tab w:val="left" w:pos="10080"/>
              </w:tabs>
              <w:spacing w:before="120" w:after="120" w:line="240" w:lineRule="auto"/>
              <w:ind w:left="0" w:right="0"/>
              <w:rPr>
                <w:sz w:val="24"/>
                <w:szCs w:val="24"/>
              </w:rPr>
            </w:pPr>
            <w:r w:rsidRPr="005B144A">
              <w:rPr>
                <w:b/>
                <w:sz w:val="24"/>
                <w:szCs w:val="24"/>
              </w:rPr>
              <w:t>Indirect if applicable</w:t>
            </w:r>
            <w:r w:rsidRPr="005B144A">
              <w:rPr>
                <w:sz w:val="24"/>
                <w:szCs w:val="24"/>
              </w:rPr>
              <w:t xml:space="preserve"> (not to exceed CDE-approved rate) </w:t>
            </w:r>
          </w:p>
          <w:p w14:paraId="51480172" w14:textId="532CA153" w:rsidR="00C93EC7" w:rsidRDefault="00C93EC7" w:rsidP="00DD3133">
            <w:r w:rsidRPr="005B144A">
              <w:rPr>
                <w:szCs w:val="24"/>
              </w:rPr>
              <w:t xml:space="preserve">Indirect costs are not assessed on expenditures for capital outlay. For a listing of indirect cost rates visit the CDE Indirect Cost Rates web page at </w:t>
            </w:r>
            <w:hyperlink r:id="rId54" w:tooltip="Indirect Cost " w:history="1">
              <w:r w:rsidRPr="00C93EC7">
                <w:rPr>
                  <w:rStyle w:val="Hyperlink"/>
                  <w:szCs w:val="24"/>
                </w:rPr>
                <w:t>https://www.cde.ca.gov/fg/ac/ic/</w:t>
              </w:r>
            </w:hyperlink>
            <w:r w:rsidRPr="005B144A">
              <w:rPr>
                <w:szCs w:val="24"/>
              </w:rPr>
              <w:t>.</w:t>
            </w:r>
          </w:p>
        </w:tc>
      </w:tr>
    </w:tbl>
    <w:p w14:paraId="4F20731D" w14:textId="00F8E48A" w:rsidR="00DD1AB8" w:rsidRDefault="00DD1AB8"/>
    <w:p w14:paraId="40E29EC7" w14:textId="77777777" w:rsidR="004E3A82" w:rsidRDefault="004E3A82" w:rsidP="00C93EC7">
      <w:pPr>
        <w:autoSpaceDE w:val="0"/>
        <w:autoSpaceDN w:val="0"/>
        <w:adjustRightInd w:val="0"/>
        <w:rPr>
          <w:rFonts w:cs="Arial"/>
          <w:b/>
          <w:iCs/>
          <w:szCs w:val="24"/>
        </w:rPr>
        <w:sectPr w:rsidR="004E3A82" w:rsidSect="00A514E8">
          <w:headerReference w:type="default" r:id="rId55"/>
          <w:footerReference w:type="default" r:id="rId56"/>
          <w:pgSz w:w="12240" w:h="15840"/>
          <w:pgMar w:top="1440" w:right="1440" w:bottom="1440" w:left="1440" w:header="720" w:footer="720" w:gutter="0"/>
          <w:cols w:space="720"/>
          <w:docGrid w:linePitch="360"/>
        </w:sectPr>
      </w:pPr>
    </w:p>
    <w:p w14:paraId="50F204A5" w14:textId="4B1EC906" w:rsidR="00BB29E9" w:rsidRPr="00AB1D95" w:rsidRDefault="00BB29E9" w:rsidP="00671F3F">
      <w:pPr>
        <w:pStyle w:val="Heading3"/>
        <w:numPr>
          <w:ilvl w:val="0"/>
          <w:numId w:val="0"/>
        </w:numPr>
        <w:jc w:val="center"/>
      </w:pPr>
      <w:bookmarkStart w:id="112" w:name="_Toc89072213"/>
      <w:bookmarkStart w:id="113" w:name="_Toc89072310"/>
      <w:r w:rsidRPr="00AB1D95">
        <w:lastRenderedPageBreak/>
        <w:t>A</w:t>
      </w:r>
      <w:r w:rsidR="00476013">
        <w:t>ppendix</w:t>
      </w:r>
      <w:r w:rsidRPr="00AB1D95">
        <w:t xml:space="preserve"> C</w:t>
      </w:r>
      <w:bookmarkEnd w:id="112"/>
      <w:bookmarkEnd w:id="113"/>
      <w:r w:rsidR="00D70C61">
        <w:t>: Assembly Bill 130, Section 145 (Statutes of 2021) of the Education Omnibus Trailer Bill</w:t>
      </w:r>
    </w:p>
    <w:p w14:paraId="416FC1D7" w14:textId="77777777" w:rsidR="00BB29E9" w:rsidRPr="00C37F57" w:rsidRDefault="00BB29E9" w:rsidP="00361A9A">
      <w:pPr>
        <w:pStyle w:val="Default"/>
        <w:spacing w:after="240"/>
      </w:pPr>
      <w:r w:rsidRPr="00C37F57">
        <w:t>S</w:t>
      </w:r>
      <w:r w:rsidR="00361A9A" w:rsidRPr="00C37F57">
        <w:t>ection</w:t>
      </w:r>
      <w:r w:rsidRPr="00C37F57">
        <w:t xml:space="preserve"> 145. (a) For the 2021–22 fiscal year, the sum of ten million dollars ($10,000,000) is hereby appropriated from the General Fund to the Superintendent of Public Instruction to generate and disseminate professional learning</w:t>
      </w:r>
      <w:r w:rsidR="00361A9A" w:rsidRPr="00C37F57">
        <w:t xml:space="preserve"> (PL)</w:t>
      </w:r>
      <w:r w:rsidRPr="00C37F57">
        <w:t xml:space="preserve"> opportunities for educators across the state in the areas of evidence-based literacy, intensive literacy interventions, and support of pupils’ executive functioning skills. Funds appropriated for this purpose are available through the 2025–26 fiscal year to provide grants consistent with subdivision (b).</w:t>
      </w:r>
    </w:p>
    <w:p w14:paraId="776C3BE7" w14:textId="77777777" w:rsidR="00BB29E9" w:rsidRPr="00C37F57" w:rsidRDefault="00BB29E9" w:rsidP="00361A9A">
      <w:pPr>
        <w:pStyle w:val="Default"/>
        <w:spacing w:after="240"/>
      </w:pPr>
      <w:r w:rsidRPr="00C37F57">
        <w:t xml:space="preserve">(b) (1) The State Department of Education and the California Collaborative for Educational Excellence shall establish a process, administered by the State Department of Education, to select, subject to approval by the executive director of the State Board of Education, one or more local educational agencies with expertise in developing and providing </w:t>
      </w:r>
      <w:r w:rsidR="00361A9A" w:rsidRPr="00C37F57">
        <w:t>PL</w:t>
      </w:r>
      <w:r w:rsidRPr="00C37F57">
        <w:t xml:space="preserve"> to educators in public schools serving kindergarten and grades 1 to 12, inclusive, to strengthen reading instruction for all pupils and in a manner that aligns with the statewide system of support pursuant to Article 4.5 (commencing with Section 52059.5) of Chapter 6.1 of Part 28 of Division 4 of Title 2 of the </w:t>
      </w:r>
      <w:r w:rsidRPr="00EF722A">
        <w:rPr>
          <w:i/>
        </w:rPr>
        <w:t>Education Code</w:t>
      </w:r>
      <w:r w:rsidR="00EF722A">
        <w:t xml:space="preserve"> (EC)</w:t>
      </w:r>
      <w:r w:rsidRPr="00C37F57">
        <w:t>. The State Department of Education shall give positive consideration to applicants that propose partnerships with an institution of higher education, a nonprofit organization, or a consortium of institutes of higher education and nonprofit organizations.</w:t>
      </w:r>
    </w:p>
    <w:p w14:paraId="0E431537" w14:textId="77777777" w:rsidR="00BB29E9" w:rsidRPr="00C37F57" w:rsidRDefault="00BB29E9" w:rsidP="00361A9A">
      <w:pPr>
        <w:autoSpaceDE w:val="0"/>
        <w:autoSpaceDN w:val="0"/>
        <w:adjustRightInd w:val="0"/>
        <w:rPr>
          <w:rFonts w:cs="Arial"/>
          <w:color w:val="000000"/>
          <w:szCs w:val="24"/>
        </w:rPr>
      </w:pPr>
      <w:r w:rsidRPr="00C37F57">
        <w:rPr>
          <w:rFonts w:cs="Arial"/>
          <w:color w:val="000000"/>
          <w:szCs w:val="24"/>
        </w:rPr>
        <w:t>(2) P</w:t>
      </w:r>
      <w:r w:rsidR="00361A9A" w:rsidRPr="00C37F57">
        <w:rPr>
          <w:rFonts w:cs="Arial"/>
          <w:color w:val="000000"/>
          <w:szCs w:val="24"/>
        </w:rPr>
        <w:t>L</w:t>
      </w:r>
      <w:r w:rsidRPr="00C37F57">
        <w:rPr>
          <w:rFonts w:cs="Arial"/>
          <w:color w:val="000000"/>
          <w:szCs w:val="24"/>
        </w:rPr>
        <w:t xml:space="preserve"> opportunities under this grant may include, but are not limited to, professional development for all of the following: </w:t>
      </w:r>
    </w:p>
    <w:p w14:paraId="3E91A20B" w14:textId="77777777" w:rsidR="00BB29E9" w:rsidRPr="00C37F57" w:rsidRDefault="00BB29E9" w:rsidP="00361A9A">
      <w:pPr>
        <w:autoSpaceDE w:val="0"/>
        <w:autoSpaceDN w:val="0"/>
        <w:adjustRightInd w:val="0"/>
        <w:spacing w:after="120"/>
        <w:ind w:left="1080" w:hanging="360"/>
        <w:rPr>
          <w:rFonts w:cs="Arial"/>
          <w:color w:val="000000"/>
          <w:szCs w:val="24"/>
        </w:rPr>
      </w:pPr>
      <w:r w:rsidRPr="00C37F57">
        <w:rPr>
          <w:rFonts w:cs="Arial"/>
          <w:color w:val="000000"/>
          <w:szCs w:val="24"/>
        </w:rPr>
        <w:t xml:space="preserve">(A) School leaders, including principals and teacher leaders, to lead evidence-based reading instruction for diverse learners, including early learners, English learners, pupils with disabilities, and pupils with dyslexia. </w:t>
      </w:r>
    </w:p>
    <w:p w14:paraId="74024946" w14:textId="77777777" w:rsidR="00BB29E9" w:rsidRPr="00C37F57" w:rsidRDefault="00BB29E9" w:rsidP="00361A9A">
      <w:pPr>
        <w:autoSpaceDE w:val="0"/>
        <w:autoSpaceDN w:val="0"/>
        <w:adjustRightInd w:val="0"/>
        <w:spacing w:after="120"/>
        <w:ind w:left="1080" w:hanging="360"/>
        <w:rPr>
          <w:rFonts w:cs="Arial"/>
          <w:color w:val="000000"/>
          <w:szCs w:val="24"/>
        </w:rPr>
      </w:pPr>
      <w:r w:rsidRPr="00C37F57">
        <w:rPr>
          <w:rFonts w:cs="Arial"/>
          <w:color w:val="000000"/>
          <w:szCs w:val="24"/>
        </w:rPr>
        <w:t xml:space="preserve">(B) Educators, including teachers and paraprofessionals, to develop knowledge and skills for appropriate use of screening strategies and evidence-based literacy instruction for diverse learners. </w:t>
      </w:r>
    </w:p>
    <w:p w14:paraId="16C1F4FF" w14:textId="77777777" w:rsidR="00BB29E9" w:rsidRPr="00C37F57" w:rsidRDefault="00BB29E9" w:rsidP="00361A9A">
      <w:pPr>
        <w:pStyle w:val="Default"/>
        <w:spacing w:after="120"/>
        <w:ind w:left="1080" w:hanging="360"/>
      </w:pPr>
      <w:r w:rsidRPr="00C37F57">
        <w:t>(C) Educators, including teachers and paraprofessionals, to implement intensive intervention strategies for pupils struggling with literacy, including tutoring and small group strategies, and strategies for target pupil groups.</w:t>
      </w:r>
    </w:p>
    <w:p w14:paraId="29E0AA23" w14:textId="77777777" w:rsidR="00BB29E9" w:rsidRPr="00C37F57" w:rsidRDefault="00BB29E9" w:rsidP="00361A9A">
      <w:pPr>
        <w:autoSpaceDE w:val="0"/>
        <w:autoSpaceDN w:val="0"/>
        <w:adjustRightInd w:val="0"/>
        <w:ind w:left="1080" w:hanging="360"/>
        <w:rPr>
          <w:rFonts w:cs="Arial"/>
          <w:color w:val="000000"/>
          <w:szCs w:val="24"/>
        </w:rPr>
      </w:pPr>
      <w:r w:rsidRPr="00C37F57">
        <w:rPr>
          <w:rFonts w:cs="Arial"/>
          <w:color w:val="000000"/>
          <w:szCs w:val="24"/>
        </w:rPr>
        <w:t xml:space="preserve">(D) All educators to support the development of pupils’ executive functioning skills. </w:t>
      </w:r>
    </w:p>
    <w:p w14:paraId="7B9C79CC" w14:textId="77777777" w:rsidR="00337A3E" w:rsidRDefault="00BB29E9" w:rsidP="00361A9A">
      <w:pPr>
        <w:autoSpaceDE w:val="0"/>
        <w:autoSpaceDN w:val="0"/>
        <w:adjustRightInd w:val="0"/>
        <w:rPr>
          <w:rFonts w:cs="Arial"/>
          <w:color w:val="000000"/>
          <w:szCs w:val="24"/>
        </w:rPr>
      </w:pPr>
      <w:r w:rsidRPr="00C37F57">
        <w:rPr>
          <w:rFonts w:cs="Arial"/>
          <w:color w:val="000000"/>
          <w:szCs w:val="24"/>
        </w:rPr>
        <w:t>(3) In developing the process for selecting</w:t>
      </w:r>
      <w:r w:rsidR="006971B4">
        <w:rPr>
          <w:rFonts w:cs="Arial"/>
          <w:color w:val="000000"/>
          <w:szCs w:val="24"/>
        </w:rPr>
        <w:t xml:space="preserve"> the</w:t>
      </w:r>
      <w:r w:rsidRPr="00C37F57">
        <w:rPr>
          <w:rFonts w:cs="Arial"/>
          <w:color w:val="000000"/>
          <w:szCs w:val="24"/>
        </w:rPr>
        <w:t xml:space="preserve"> grantee, the State Department of Education and the California Collaborative for Educational Excellence shall, to the greatest extent practicable, facilitate coordination among the grantee and other literacy initiatives, including, but not limited to, all of the following: </w:t>
      </w:r>
    </w:p>
    <w:p w14:paraId="33913DC1" w14:textId="6F9A2A8C" w:rsidR="00D070E0" w:rsidRPr="00C37F57" w:rsidRDefault="006F637A" w:rsidP="00EF722A">
      <w:pPr>
        <w:autoSpaceDE w:val="0"/>
        <w:autoSpaceDN w:val="0"/>
        <w:adjustRightInd w:val="0"/>
        <w:ind w:left="1166" w:hanging="446"/>
        <w:rPr>
          <w:rFonts w:cs="Arial"/>
          <w:color w:val="000000"/>
          <w:szCs w:val="24"/>
        </w:rPr>
      </w:pPr>
      <w:r w:rsidRPr="00AB1D95">
        <w:rPr>
          <w:rFonts w:cs="Arial"/>
          <w:color w:val="000000"/>
          <w:szCs w:val="24"/>
        </w:rPr>
        <w:t xml:space="preserve"> </w:t>
      </w:r>
      <w:r w:rsidR="00BB29E9" w:rsidRPr="00AB1D95">
        <w:rPr>
          <w:rFonts w:cs="Arial"/>
          <w:color w:val="000000"/>
          <w:szCs w:val="24"/>
        </w:rPr>
        <w:t>(A)</w:t>
      </w:r>
      <w:r w:rsidR="00BB29E9" w:rsidRPr="00C37F57">
        <w:rPr>
          <w:rFonts w:cs="Arial"/>
          <w:color w:val="000000"/>
          <w:szCs w:val="24"/>
        </w:rPr>
        <w:t xml:space="preserve"> The subject matter projects authorized pursuant to Article 1 (commencing with Section 99200) of Chapter 5 of Part 65 of Division 14 of Title 3 of the E</w:t>
      </w:r>
      <w:r w:rsidR="00EF722A">
        <w:rPr>
          <w:rFonts w:cs="Arial"/>
          <w:color w:val="000000"/>
          <w:szCs w:val="24"/>
        </w:rPr>
        <w:t>C.</w:t>
      </w:r>
      <w:r w:rsidR="00D070E0" w:rsidRPr="00C37F57">
        <w:rPr>
          <w:rFonts w:cs="Arial"/>
          <w:color w:val="000000"/>
          <w:szCs w:val="24"/>
        </w:rPr>
        <w:t xml:space="preserve"> </w:t>
      </w:r>
    </w:p>
    <w:p w14:paraId="65FAD600" w14:textId="77777777" w:rsidR="00D070E0" w:rsidRPr="00C37F57" w:rsidRDefault="00D070E0" w:rsidP="00EF722A">
      <w:pPr>
        <w:autoSpaceDE w:val="0"/>
        <w:autoSpaceDN w:val="0"/>
        <w:adjustRightInd w:val="0"/>
        <w:ind w:left="1166" w:hanging="446"/>
        <w:rPr>
          <w:rFonts w:cs="Arial"/>
          <w:color w:val="000000"/>
          <w:szCs w:val="24"/>
        </w:rPr>
      </w:pPr>
      <w:r w:rsidRPr="00C37F57">
        <w:rPr>
          <w:rFonts w:cs="Arial"/>
          <w:color w:val="000000"/>
          <w:szCs w:val="24"/>
        </w:rPr>
        <w:lastRenderedPageBreak/>
        <w:t xml:space="preserve">(B) Grantees of the 21st Century California School Leadership Academy authorized pursuant to Article 5 (Section 44690) of Chapter 3.1 of Part 25 of Division 3 of Title 2 of the EC. </w:t>
      </w:r>
    </w:p>
    <w:p w14:paraId="62F0A360" w14:textId="77777777" w:rsidR="00D070E0" w:rsidRPr="00C37F57" w:rsidRDefault="00D070E0" w:rsidP="00EF722A">
      <w:pPr>
        <w:pStyle w:val="Default"/>
        <w:spacing w:after="240"/>
        <w:ind w:left="1166" w:hanging="446"/>
      </w:pPr>
      <w:r w:rsidRPr="00C37F57">
        <w:t>(C) Grantees of the federal Comprehensive Literacy State Development Grant</w:t>
      </w:r>
      <w:r w:rsidR="00BF6EE5">
        <w:t xml:space="preserve"> </w:t>
      </w:r>
      <w:r w:rsidRPr="00C37F57">
        <w:t xml:space="preserve">pursuant to Sections 2222 and 2223 of the federal Elementary and Secondary Education Act of 1965, as amended (20 U.S.C. </w:t>
      </w:r>
      <w:r w:rsidR="00EF722A">
        <w:t>s</w:t>
      </w:r>
      <w:r w:rsidRPr="00C37F57">
        <w:t>ec</w:t>
      </w:r>
      <w:r w:rsidR="00EF722A">
        <w:t>tion</w:t>
      </w:r>
      <w:r w:rsidRPr="00C37F57">
        <w:t>s. 6642 and 6643).</w:t>
      </w:r>
    </w:p>
    <w:p w14:paraId="44B890DC" w14:textId="77777777" w:rsidR="00D070E0" w:rsidRPr="00C37F57" w:rsidRDefault="00D070E0" w:rsidP="00EF722A">
      <w:pPr>
        <w:autoSpaceDE w:val="0"/>
        <w:autoSpaceDN w:val="0"/>
        <w:adjustRightInd w:val="0"/>
        <w:ind w:left="1166" w:hanging="446"/>
        <w:rPr>
          <w:rFonts w:cs="Arial"/>
          <w:color w:val="000000"/>
          <w:szCs w:val="24"/>
        </w:rPr>
      </w:pPr>
      <w:r w:rsidRPr="00C37F57">
        <w:rPr>
          <w:rFonts w:cs="Arial"/>
          <w:color w:val="000000"/>
          <w:szCs w:val="24"/>
        </w:rPr>
        <w:t xml:space="preserve">(D) The grantee selected subject to paragraph (2) of subdivision (b) of Section 84 of Chapter 51 of the Statutes of 2019. </w:t>
      </w:r>
    </w:p>
    <w:p w14:paraId="779A32D7" w14:textId="77777777" w:rsidR="00D070E0" w:rsidRPr="00C37F57" w:rsidRDefault="00D070E0" w:rsidP="00C4248A">
      <w:pPr>
        <w:tabs>
          <w:tab w:val="left" w:pos="1170"/>
        </w:tabs>
        <w:autoSpaceDE w:val="0"/>
        <w:autoSpaceDN w:val="0"/>
        <w:adjustRightInd w:val="0"/>
        <w:ind w:left="1166" w:hanging="446"/>
        <w:rPr>
          <w:rFonts w:cs="Arial"/>
          <w:color w:val="000000"/>
          <w:szCs w:val="24"/>
        </w:rPr>
      </w:pPr>
      <w:r w:rsidRPr="00C37F57">
        <w:rPr>
          <w:rFonts w:cs="Arial"/>
          <w:color w:val="000000"/>
          <w:szCs w:val="24"/>
        </w:rPr>
        <w:t xml:space="preserve">(E) The California Dyslexia Initiative established pursuant to Section 119 of Chapter 24 of the Statutes of 2020. </w:t>
      </w:r>
    </w:p>
    <w:p w14:paraId="719D6A06" w14:textId="77777777" w:rsidR="00D070E0" w:rsidRPr="00C37F57" w:rsidRDefault="00D070E0" w:rsidP="00EE5CEF">
      <w:pPr>
        <w:autoSpaceDE w:val="0"/>
        <w:autoSpaceDN w:val="0"/>
        <w:adjustRightInd w:val="0"/>
        <w:rPr>
          <w:rFonts w:cs="Arial"/>
          <w:color w:val="000000"/>
          <w:szCs w:val="24"/>
        </w:rPr>
      </w:pPr>
      <w:r w:rsidRPr="00C37F57">
        <w:rPr>
          <w:rFonts w:cs="Arial"/>
          <w:color w:val="000000"/>
          <w:szCs w:val="24"/>
        </w:rPr>
        <w:t>(c) The California Collaborative for Educational Excellence</w:t>
      </w:r>
      <w:r w:rsidR="00C4248A">
        <w:rPr>
          <w:rFonts w:cs="Arial"/>
          <w:color w:val="000000"/>
          <w:szCs w:val="24"/>
        </w:rPr>
        <w:t xml:space="preserve"> (CCEE)</w:t>
      </w:r>
      <w:r w:rsidRPr="00C37F57">
        <w:rPr>
          <w:rFonts w:cs="Arial"/>
          <w:color w:val="000000"/>
          <w:szCs w:val="24"/>
        </w:rPr>
        <w:t xml:space="preserve">, in consultation with the State Department of Education, shall evaluate the professional learning opportunities offered or funded pursuant to this section for their effectiveness, and may require reporting from </w:t>
      </w:r>
      <w:r w:rsidR="006971B4">
        <w:rPr>
          <w:rFonts w:cs="Arial"/>
          <w:color w:val="000000"/>
          <w:szCs w:val="24"/>
        </w:rPr>
        <w:t xml:space="preserve">the </w:t>
      </w:r>
      <w:r w:rsidRPr="00C37F57">
        <w:rPr>
          <w:rFonts w:cs="Arial"/>
          <w:color w:val="000000"/>
          <w:szCs w:val="24"/>
        </w:rPr>
        <w:t xml:space="preserve">grantee to complete this evaluation. The grantee shall participate in the evaluation coordinated by the </w:t>
      </w:r>
      <w:r w:rsidR="00EF722A">
        <w:rPr>
          <w:rFonts w:cs="Arial"/>
          <w:color w:val="000000"/>
          <w:szCs w:val="24"/>
        </w:rPr>
        <w:t>CCEE</w:t>
      </w:r>
      <w:r w:rsidRPr="00C37F57">
        <w:rPr>
          <w:rFonts w:cs="Arial"/>
          <w:color w:val="000000"/>
          <w:szCs w:val="24"/>
        </w:rPr>
        <w:t xml:space="preserve">. The CCEE may withhold no more than two hundred thousand dollars ($200,000) of the amount appropriated in subdivision (a) for this purpose. </w:t>
      </w:r>
    </w:p>
    <w:p w14:paraId="3EF95533" w14:textId="77777777" w:rsidR="00D070E0" w:rsidRPr="00C37F57" w:rsidRDefault="00D070E0" w:rsidP="00D070E0">
      <w:pPr>
        <w:pStyle w:val="Default"/>
        <w:spacing w:after="120"/>
      </w:pPr>
      <w:r w:rsidRPr="00C37F57">
        <w:t>(d) For purposes of making the computations required by Section 8 of Article XVI of the California Constitution, the appropriation made by subdivision (a) shall be deemed to be “General Fund revenues appropriated for school districts,” as defined in subdivision (c) of Section 41202 of the EC, for the 2020–21 fiscal year, and included within the “total allocations to school districts and community college districts from General Fund proceeds of taxes appropriated pursuant to Article XIIIB,” as defined in subdivision (e) of Section 41202 of the EC, for the 2020–21 fiscal year.</w:t>
      </w:r>
    </w:p>
    <w:p w14:paraId="7E466A74" w14:textId="77777777" w:rsidR="005F6D46" w:rsidRPr="00997DAC" w:rsidRDefault="005F6D46" w:rsidP="00B53598">
      <w:pPr>
        <w:autoSpaceDE w:val="0"/>
        <w:autoSpaceDN w:val="0"/>
        <w:adjustRightInd w:val="0"/>
        <w:ind w:left="720"/>
        <w:rPr>
          <w:highlight w:val="yellow"/>
        </w:rPr>
        <w:sectPr w:rsidR="005F6D46" w:rsidRPr="00997DAC" w:rsidSect="00A514E8">
          <w:headerReference w:type="default" r:id="rId57"/>
          <w:footerReference w:type="default" r:id="rId58"/>
          <w:pgSz w:w="12240" w:h="15840"/>
          <w:pgMar w:top="1440" w:right="1440" w:bottom="1440" w:left="1440" w:header="720" w:footer="720" w:gutter="0"/>
          <w:cols w:space="720"/>
          <w:docGrid w:linePitch="360"/>
        </w:sectPr>
      </w:pPr>
    </w:p>
    <w:p w14:paraId="6E6ED7AD" w14:textId="77777777" w:rsidR="00903B3B" w:rsidRDefault="00903B3B" w:rsidP="00476013">
      <w:pPr>
        <w:pStyle w:val="Heading3"/>
        <w:numPr>
          <w:ilvl w:val="0"/>
          <w:numId w:val="0"/>
        </w:numPr>
        <w:ind w:left="450"/>
        <w:jc w:val="center"/>
      </w:pPr>
      <w:bookmarkStart w:id="114" w:name="California_Environmental_Literacy_Projec"/>
      <w:bookmarkStart w:id="115" w:name="_Toc86663649"/>
      <w:bookmarkStart w:id="116" w:name="_Toc89072214"/>
      <w:bookmarkStart w:id="117" w:name="_Toc89072311"/>
      <w:bookmarkEnd w:id="114"/>
      <w:r>
        <w:lastRenderedPageBreak/>
        <w:t xml:space="preserve">Form </w:t>
      </w:r>
      <w:r w:rsidRPr="00997DAC">
        <w:t>A:</w:t>
      </w:r>
      <w:r>
        <w:t xml:space="preserve"> Reading Instruction and Intervention Grant Program: Lead Applicant</w:t>
      </w:r>
      <w:r w:rsidR="00997DAC">
        <w:t xml:space="preserve"> </w:t>
      </w:r>
      <w:r w:rsidRPr="00CF0149">
        <w:t>Statement of Assurances</w:t>
      </w:r>
      <w:bookmarkEnd w:id="115"/>
      <w:bookmarkEnd w:id="116"/>
      <w:bookmarkEnd w:id="117"/>
    </w:p>
    <w:p w14:paraId="2D550BA6" w14:textId="77777777" w:rsidR="00903B3B" w:rsidRPr="006C1209" w:rsidRDefault="00903B3B" w:rsidP="0086007F">
      <w:pPr>
        <w:rPr>
          <w:szCs w:val="24"/>
        </w:rPr>
      </w:pPr>
      <w:r w:rsidRPr="006C1209">
        <w:rPr>
          <w:szCs w:val="24"/>
        </w:rPr>
        <w:t>I support the proposed project and commit my organization to completing all of the tasks and activities that are described in the application. I also certify that each of the following requirements of</w:t>
      </w:r>
      <w:r>
        <w:rPr>
          <w:szCs w:val="24"/>
        </w:rPr>
        <w:t xml:space="preserve"> the</w:t>
      </w:r>
      <w:r w:rsidRPr="006C1209">
        <w:rPr>
          <w:szCs w:val="24"/>
        </w:rPr>
        <w:t xml:space="preserve"> </w:t>
      </w:r>
      <w:r>
        <w:rPr>
          <w:szCs w:val="24"/>
        </w:rPr>
        <w:t>Reading Instruction and Intervention</w:t>
      </w:r>
      <w:r w:rsidRPr="006C1209">
        <w:rPr>
          <w:szCs w:val="24"/>
        </w:rPr>
        <w:t xml:space="preserve"> Grant Program: </w:t>
      </w:r>
      <w:r>
        <w:rPr>
          <w:szCs w:val="24"/>
        </w:rPr>
        <w:t>Lead Applicant</w:t>
      </w:r>
      <w:r w:rsidRPr="006C1209">
        <w:rPr>
          <w:szCs w:val="24"/>
        </w:rPr>
        <w:t xml:space="preserve"> will be met:</w:t>
      </w:r>
    </w:p>
    <w:p w14:paraId="32ACA643" w14:textId="77777777" w:rsidR="00903B3B" w:rsidRPr="006C1209" w:rsidRDefault="00903B3B" w:rsidP="0086007F">
      <w:pPr>
        <w:pStyle w:val="ListParagraph"/>
        <w:numPr>
          <w:ilvl w:val="0"/>
          <w:numId w:val="16"/>
        </w:numPr>
        <w:rPr>
          <w:szCs w:val="24"/>
        </w:rPr>
      </w:pPr>
      <w:r w:rsidRPr="31EAB8EB">
        <w:rPr>
          <w:szCs w:val="24"/>
        </w:rPr>
        <w:t xml:space="preserve">If </w:t>
      </w:r>
      <w:r w:rsidR="006971B4">
        <w:rPr>
          <w:szCs w:val="24"/>
        </w:rPr>
        <w:t>the</w:t>
      </w:r>
      <w:r w:rsidRPr="31EAB8EB">
        <w:rPr>
          <w:szCs w:val="24"/>
        </w:rPr>
        <w:t xml:space="preserve"> </w:t>
      </w:r>
      <w:r>
        <w:rPr>
          <w:szCs w:val="24"/>
        </w:rPr>
        <w:t>Grantee</w:t>
      </w:r>
      <w:r w:rsidRPr="31EAB8EB">
        <w:rPr>
          <w:szCs w:val="24"/>
        </w:rPr>
        <w:t xml:space="preserve"> seek</w:t>
      </w:r>
      <w:r w:rsidR="006971B4">
        <w:rPr>
          <w:szCs w:val="24"/>
        </w:rPr>
        <w:t>s</w:t>
      </w:r>
      <w:r w:rsidRPr="31EAB8EB">
        <w:rPr>
          <w:szCs w:val="24"/>
        </w:rPr>
        <w:t xml:space="preserve"> to make a significant change in the work plan and/or budget, a project amendment must be requested and approved by the California Department of Education (CDE) Project Monitor and the respective CDE Office prior to making any changes in the activities or expenditures of the project.</w:t>
      </w:r>
    </w:p>
    <w:p w14:paraId="247332B5" w14:textId="77777777" w:rsidR="00903B3B" w:rsidRPr="006C1209" w:rsidRDefault="00903B3B" w:rsidP="0086007F">
      <w:pPr>
        <w:pStyle w:val="ListParagraph"/>
        <w:numPr>
          <w:ilvl w:val="0"/>
          <w:numId w:val="16"/>
        </w:numPr>
        <w:rPr>
          <w:szCs w:val="24"/>
        </w:rPr>
      </w:pPr>
      <w:r w:rsidRPr="006C1209">
        <w:rPr>
          <w:szCs w:val="24"/>
        </w:rPr>
        <w:t>All of the parties entering into this grant agree to be subject to the examination and audit of the State Auditor for a period of five years after final payment under the grant. Grantee agrees to obtain a timely audit where required in accordance with applicable audit guidelines.</w:t>
      </w:r>
    </w:p>
    <w:p w14:paraId="726CFF7A" w14:textId="77777777" w:rsidR="00903B3B" w:rsidRPr="001E693E" w:rsidRDefault="00903B3B" w:rsidP="0086007F">
      <w:pPr>
        <w:pStyle w:val="ListParagraph"/>
        <w:numPr>
          <w:ilvl w:val="0"/>
          <w:numId w:val="16"/>
        </w:numPr>
        <w:rPr>
          <w:szCs w:val="24"/>
        </w:rPr>
      </w:pPr>
      <w:r w:rsidRPr="001E693E">
        <w:rPr>
          <w:szCs w:val="24"/>
        </w:rPr>
        <w:t>Grantee must limit administrative indirect costs to a maximum 8 percent indirect cost rate per Section 84 of Chapter 51 of the Statutes of 2019.</w:t>
      </w:r>
    </w:p>
    <w:p w14:paraId="5A91CE39" w14:textId="77777777" w:rsidR="00903B3B" w:rsidRPr="006C1209" w:rsidRDefault="00903B3B" w:rsidP="0086007F">
      <w:pPr>
        <w:pStyle w:val="ListParagraph"/>
        <w:numPr>
          <w:ilvl w:val="0"/>
          <w:numId w:val="16"/>
        </w:numPr>
        <w:rPr>
          <w:szCs w:val="24"/>
        </w:rPr>
      </w:pPr>
      <w:r w:rsidRPr="006C1209">
        <w:rPr>
          <w:szCs w:val="24"/>
        </w:rPr>
        <w:t>All subcontracts or subgrants pursuant to this grant must be approved by the CDE prior to execution of the agreement and shall be subject to the examination and audit by the State Auditor for a period of five years after the final payment under the grant. Grantee must submit a formal request to the CDE Project Monitor for review.</w:t>
      </w:r>
    </w:p>
    <w:p w14:paraId="26A157EB" w14:textId="77777777" w:rsidR="00903B3B" w:rsidRPr="006C1209" w:rsidRDefault="00903B3B" w:rsidP="0086007F">
      <w:pPr>
        <w:pStyle w:val="ListParagraph"/>
        <w:numPr>
          <w:ilvl w:val="0"/>
          <w:numId w:val="16"/>
        </w:numPr>
        <w:rPr>
          <w:szCs w:val="24"/>
        </w:rPr>
      </w:pPr>
      <w:r w:rsidRPr="006C1209">
        <w:rPr>
          <w:szCs w:val="24"/>
        </w:rPr>
        <w:t>Grantee will be adaptive, be responsive, and work with the statewide agencies to ensure coherence with existing systems of support and professional learning within the state.</w:t>
      </w:r>
    </w:p>
    <w:p w14:paraId="16B6ABD7" w14:textId="77777777" w:rsidR="00903B3B" w:rsidRPr="006C1209" w:rsidRDefault="00903B3B" w:rsidP="0086007F">
      <w:pPr>
        <w:pStyle w:val="ListParagraph"/>
        <w:numPr>
          <w:ilvl w:val="0"/>
          <w:numId w:val="16"/>
        </w:numPr>
        <w:rPr>
          <w:szCs w:val="24"/>
        </w:rPr>
      </w:pPr>
      <w:r w:rsidRPr="1B47A2AC">
        <w:rPr>
          <w:szCs w:val="24"/>
        </w:rPr>
        <w:t>Grantee will work collaboratively to build the capacity of local educational agencies (LEAs) statewide through professional learning aligned to the Quality Professional Learning Standards.</w:t>
      </w:r>
    </w:p>
    <w:p w14:paraId="78EB05EF" w14:textId="77777777" w:rsidR="00903B3B" w:rsidRPr="001305F0" w:rsidRDefault="00903B3B" w:rsidP="0086007F">
      <w:pPr>
        <w:pStyle w:val="ListParagraph"/>
        <w:numPr>
          <w:ilvl w:val="0"/>
          <w:numId w:val="16"/>
        </w:numPr>
        <w:rPr>
          <w:szCs w:val="24"/>
        </w:rPr>
      </w:pPr>
      <w:r w:rsidRPr="001305F0">
        <w:rPr>
          <w:szCs w:val="24"/>
        </w:rPr>
        <w:t xml:space="preserve">Grantee will provide information and all reports according to the predetermined reporting schedule. Reports shall include at a minimum, activities accomplished, the impact of these activities, and the number of educators and school leaders, LEAs, and counties impacted by these activities, and any other data requested by </w:t>
      </w:r>
      <w:r w:rsidR="0086007F">
        <w:rPr>
          <w:szCs w:val="24"/>
        </w:rPr>
        <w:t>T</w:t>
      </w:r>
      <w:r w:rsidRPr="001305F0">
        <w:rPr>
          <w:szCs w:val="24"/>
        </w:rPr>
        <w:t>he C</w:t>
      </w:r>
      <w:r w:rsidR="0086007F">
        <w:rPr>
          <w:szCs w:val="24"/>
        </w:rPr>
        <w:t xml:space="preserve">alifornia </w:t>
      </w:r>
      <w:r w:rsidRPr="001305F0">
        <w:rPr>
          <w:szCs w:val="24"/>
        </w:rPr>
        <w:t>C</w:t>
      </w:r>
      <w:r w:rsidR="0086007F">
        <w:rPr>
          <w:szCs w:val="24"/>
        </w:rPr>
        <w:t xml:space="preserve">ollaborative for Educational </w:t>
      </w:r>
      <w:r w:rsidRPr="001305F0">
        <w:rPr>
          <w:szCs w:val="24"/>
        </w:rPr>
        <w:t>E</w:t>
      </w:r>
      <w:r w:rsidR="0086007F">
        <w:rPr>
          <w:szCs w:val="24"/>
        </w:rPr>
        <w:t>xcellence</w:t>
      </w:r>
      <w:r w:rsidRPr="001305F0">
        <w:rPr>
          <w:szCs w:val="24"/>
        </w:rPr>
        <w:t>.</w:t>
      </w:r>
    </w:p>
    <w:p w14:paraId="6B4F8FD1" w14:textId="77777777" w:rsidR="00225055" w:rsidRDefault="00903B3B" w:rsidP="0086007F">
      <w:pPr>
        <w:pStyle w:val="ListParagraph"/>
        <w:numPr>
          <w:ilvl w:val="0"/>
          <w:numId w:val="16"/>
        </w:numPr>
        <w:rPr>
          <w:szCs w:val="24"/>
        </w:rPr>
        <w:sectPr w:rsidR="00225055" w:rsidSect="00C56650">
          <w:headerReference w:type="even" r:id="rId59"/>
          <w:headerReference w:type="default" r:id="rId60"/>
          <w:footerReference w:type="default" r:id="rId61"/>
          <w:headerReference w:type="first" r:id="rId62"/>
          <w:footerReference w:type="first" r:id="rId63"/>
          <w:pgSz w:w="12240" w:h="15840"/>
          <w:pgMar w:top="1440" w:right="1440" w:bottom="1440" w:left="1440" w:header="720" w:footer="720" w:gutter="0"/>
          <w:cols w:space="720"/>
          <w:docGrid w:linePitch="299"/>
        </w:sectPr>
      </w:pPr>
      <w:r w:rsidRPr="001E693E">
        <w:rPr>
          <w:szCs w:val="24"/>
        </w:rPr>
        <w:t xml:space="preserve">Grantee will ensure that no single participant in an eligible partnership (i.e., no single LEA, no single institution of higher education and its division, no single nonprofit educational agency, and no single other partner) “may use more than </w:t>
      </w:r>
    </w:p>
    <w:p w14:paraId="664D37A4" w14:textId="77777777" w:rsidR="00903B3B" w:rsidRPr="001E693E" w:rsidRDefault="00903B3B" w:rsidP="0086007F">
      <w:pPr>
        <w:pStyle w:val="ListParagraph"/>
        <w:numPr>
          <w:ilvl w:val="0"/>
          <w:numId w:val="16"/>
        </w:numPr>
        <w:rPr>
          <w:szCs w:val="24"/>
        </w:rPr>
      </w:pPr>
      <w:r w:rsidRPr="001E693E">
        <w:rPr>
          <w:szCs w:val="24"/>
        </w:rPr>
        <w:lastRenderedPageBreak/>
        <w:t xml:space="preserve">50 percent” of the grant. The provision focuses not on which partner receives the funds, but on which partner directly uses or benefits from them. </w:t>
      </w:r>
    </w:p>
    <w:p w14:paraId="3B5C6C04" w14:textId="77777777" w:rsidR="00903B3B" w:rsidRPr="001E693E" w:rsidRDefault="00903B3B" w:rsidP="0086007F">
      <w:pPr>
        <w:pStyle w:val="ListParagraph"/>
        <w:numPr>
          <w:ilvl w:val="0"/>
          <w:numId w:val="16"/>
        </w:numPr>
        <w:rPr>
          <w:rFonts w:asciiTheme="minorHAnsi" w:eastAsiaTheme="minorEastAsia" w:hAnsiTheme="minorHAnsi"/>
          <w:szCs w:val="24"/>
        </w:rPr>
      </w:pPr>
      <w:r w:rsidRPr="001E693E">
        <w:rPr>
          <w:szCs w:val="24"/>
        </w:rPr>
        <w:t xml:space="preserve">Grantee will ensure all parties comply with the General Assurances.  </w:t>
      </w:r>
    </w:p>
    <w:p w14:paraId="63A89C55" w14:textId="77777777" w:rsidR="001E693E" w:rsidRPr="001E693E" w:rsidRDefault="001E693E" w:rsidP="0086007F">
      <w:pPr>
        <w:pStyle w:val="ListParagraph"/>
        <w:numPr>
          <w:ilvl w:val="0"/>
          <w:numId w:val="16"/>
        </w:numPr>
        <w:rPr>
          <w:rFonts w:asciiTheme="minorHAnsi" w:eastAsiaTheme="minorEastAsia" w:hAnsiTheme="minorHAnsi"/>
          <w:szCs w:val="24"/>
        </w:rPr>
      </w:pPr>
      <w:r>
        <w:rPr>
          <w:szCs w:val="24"/>
        </w:rPr>
        <w:t>Grantee will ensure that funds are used to supplement and not supplant funding that will otherwise be used to support proposed activities.</w:t>
      </w:r>
    </w:p>
    <w:p w14:paraId="568262A3" w14:textId="77777777" w:rsidR="00903B3B" w:rsidRPr="003A3F56" w:rsidRDefault="00903B3B" w:rsidP="0086007F">
      <w:pPr>
        <w:pStyle w:val="ListParagraph"/>
        <w:numPr>
          <w:ilvl w:val="0"/>
          <w:numId w:val="16"/>
        </w:numPr>
        <w:rPr>
          <w:rFonts w:asciiTheme="minorHAnsi" w:eastAsiaTheme="minorEastAsia" w:hAnsiTheme="minorHAnsi"/>
          <w:szCs w:val="24"/>
        </w:rPr>
      </w:pPr>
      <w:r w:rsidRPr="31EAB8EB">
        <w:rPr>
          <w:szCs w:val="24"/>
        </w:rPr>
        <w:t>Grantee will c</w:t>
      </w:r>
      <w:r w:rsidRPr="003A3F56">
        <w:rPr>
          <w:szCs w:val="24"/>
        </w:rPr>
        <w:t>omply</w:t>
      </w:r>
      <w:r w:rsidRPr="31EAB8EB">
        <w:rPr>
          <w:szCs w:val="24"/>
        </w:rPr>
        <w:t xml:space="preserve"> with the Uniform Administrative Requirements, Cost Principles, and Audit Requirements for Federal Awards; Final Rule (Title 2, Code of Federal Regulations, Chapter I, Chapter II, Part 200, et al.). </w:t>
      </w:r>
    </w:p>
    <w:p w14:paraId="630EE76C" w14:textId="77777777" w:rsidR="00903B3B" w:rsidRPr="006C1209" w:rsidRDefault="00903B3B" w:rsidP="0086007F">
      <w:pPr>
        <w:pStyle w:val="ListParagraph"/>
        <w:numPr>
          <w:ilvl w:val="0"/>
          <w:numId w:val="16"/>
        </w:numPr>
        <w:rPr>
          <w:rFonts w:asciiTheme="minorHAnsi" w:eastAsiaTheme="minorEastAsia" w:hAnsiTheme="minorHAnsi"/>
          <w:szCs w:val="24"/>
        </w:rPr>
      </w:pPr>
      <w:r w:rsidRPr="31EAB8EB">
        <w:rPr>
          <w:szCs w:val="24"/>
        </w:rPr>
        <w:t>Grantee</w:t>
      </w:r>
      <w:r w:rsidRPr="31EAB8EB" w:rsidDel="0005074A">
        <w:rPr>
          <w:szCs w:val="24"/>
        </w:rPr>
        <w:t xml:space="preserve"> </w:t>
      </w:r>
      <w:r w:rsidRPr="31EAB8EB">
        <w:rPr>
          <w:szCs w:val="24"/>
        </w:rPr>
        <w:t>will ensure that any new professional learning or course materials, including curriculum, developed as a result of this grant, are available as open educational resources. Ownership of any copyrights, patents, or other proprietary interests that may result from grant activities shall be governed by applicable state regulations.</w:t>
      </w:r>
    </w:p>
    <w:p w14:paraId="4DD0FCC4" w14:textId="655097D0" w:rsidR="00903B3B" w:rsidRPr="00C82D88" w:rsidRDefault="00903B3B" w:rsidP="0086007F">
      <w:pPr>
        <w:pStyle w:val="ListParagraph"/>
        <w:numPr>
          <w:ilvl w:val="0"/>
          <w:numId w:val="16"/>
        </w:numPr>
        <w:rPr>
          <w:rStyle w:val="Hyperlink"/>
          <w:color w:val="auto"/>
          <w:szCs w:val="24"/>
        </w:rPr>
      </w:pPr>
      <w:r w:rsidRPr="001E372A">
        <w:rPr>
          <w:szCs w:val="24"/>
        </w:rPr>
        <w:t>Grantee commits to reviewing the Family Educational Rights and Privacy Act (FERPA) in relation to the proposed project. Information on FERPA is available at the U</w:t>
      </w:r>
      <w:r w:rsidR="0086007F">
        <w:rPr>
          <w:szCs w:val="24"/>
        </w:rPr>
        <w:t xml:space="preserve">nited </w:t>
      </w:r>
      <w:proofErr w:type="spellStart"/>
      <w:r w:rsidRPr="001E372A">
        <w:rPr>
          <w:szCs w:val="24"/>
        </w:rPr>
        <w:t>S</w:t>
      </w:r>
      <w:r w:rsidR="0086007F">
        <w:rPr>
          <w:szCs w:val="24"/>
        </w:rPr>
        <w:t>tate’s</w:t>
      </w:r>
      <w:proofErr w:type="spellEnd"/>
      <w:r w:rsidRPr="001E372A">
        <w:rPr>
          <w:szCs w:val="24"/>
        </w:rPr>
        <w:t xml:space="preserve"> Department of Education FERPA web page at </w:t>
      </w:r>
      <w:hyperlink r:id="rId64" w:tooltip="ED Family Educational Rights and Privacy Act Web page" w:history="1">
        <w:r w:rsidRPr="001E372A">
          <w:rPr>
            <w:rStyle w:val="Hyperlink"/>
            <w:szCs w:val="24"/>
          </w:rPr>
          <w:t>https://www2.ed.gov/policy/gen/guid/fpco/ferpa/index.html</w:t>
        </w:r>
      </w:hyperlink>
      <w:bookmarkStart w:id="118" w:name="Authorized_Signatory_Agent's_Certificati"/>
      <w:bookmarkEnd w:id="118"/>
      <w:r w:rsidRPr="00AA3F09">
        <w:t>.</w:t>
      </w:r>
    </w:p>
    <w:p w14:paraId="242B321C" w14:textId="6A15D356" w:rsidR="00D86CC9" w:rsidRPr="00D86CC9" w:rsidRDefault="00903B3B" w:rsidP="002E5A5F">
      <w:r>
        <w:rPr>
          <w:szCs w:val="24"/>
        </w:rPr>
        <w:t>California Department of Education</w:t>
      </w:r>
      <w:r>
        <w:rPr>
          <w:szCs w:val="24"/>
        </w:rPr>
        <w:br/>
        <w:t>October 2021</w:t>
      </w:r>
    </w:p>
    <w:sectPr w:rsidR="00D86CC9" w:rsidRPr="00D86CC9" w:rsidSect="00C56650">
      <w:headerReference w:type="default" r:id="rId65"/>
      <w:footerReference w:type="default" r:id="rId66"/>
      <w:pgSz w:w="12240" w:h="15840"/>
      <w:pgMar w:top="1440" w:right="1440" w:bottom="144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8B80" w16cex:dateUtc="2021-11-24T17:59:00Z"/>
  <w16cex:commentExtensible w16cex:durableId="25488C60" w16cex:dateUtc="2021-11-24T18:03:00Z"/>
  <w16cex:commentExtensible w16cex:durableId="25488C9B" w16cex:dateUtc="2021-11-24T18:04:00Z"/>
  <w16cex:commentExtensible w16cex:durableId="25488E1C" w16cex:dateUtc="2021-11-24T18:10:00Z"/>
  <w16cex:commentExtensible w16cex:durableId="25488F83" w16cex:dateUtc="2021-11-24T18:16:00Z"/>
  <w16cex:commentExtensible w16cex:durableId="254890AF" w16cex:dateUtc="2021-11-24T18:21:00Z"/>
  <w16cex:commentExtensible w16cex:durableId="25489151" w16cex:dateUtc="2021-11-24T18:24:00Z"/>
  <w16cex:commentExtensible w16cex:durableId="25489396" w16cex:dateUtc="2021-11-24T18:33:00Z"/>
  <w16cex:commentExtensible w16cex:durableId="2548926F" w16cex:dateUtc="2021-11-24T18:29:00Z"/>
  <w16cex:commentExtensible w16cex:durableId="254892C0" w16cex:dateUtc="2021-11-24T18:30:00Z"/>
  <w16cex:commentExtensible w16cex:durableId="2548931E" w16cex:dateUtc="2021-11-24T18:31:00Z"/>
  <w16cex:commentExtensible w16cex:durableId="25489340" w16cex:dateUtc="2021-11-24T18: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18BA2" w14:textId="77777777" w:rsidR="00D36F0E" w:rsidRDefault="00D36F0E" w:rsidP="00BD3742">
      <w:r>
        <w:separator/>
      </w:r>
    </w:p>
  </w:endnote>
  <w:endnote w:type="continuationSeparator" w:id="0">
    <w:p w14:paraId="1AEDB233" w14:textId="77777777" w:rsidR="00D36F0E" w:rsidRDefault="00D36F0E" w:rsidP="00BD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00FF" w14:textId="77777777" w:rsidR="00AC30D8" w:rsidRDefault="00AC30D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0060" w14:textId="77777777" w:rsidR="00453E4E" w:rsidRPr="00CF0149" w:rsidRDefault="00453E4E" w:rsidP="00997DAC">
    <w:pPr>
      <w:pStyle w:val="Footer"/>
      <w:jc w:val="center"/>
      <w:rPr>
        <w:szCs w:val="24"/>
      </w:rPr>
    </w:pPr>
    <w:r w:rsidRPr="00A514E8">
      <w:rPr>
        <w:szCs w:val="24"/>
      </w:rPr>
      <w:fldChar w:fldCharType="begin"/>
    </w:r>
    <w:r w:rsidRPr="00A514E8">
      <w:rPr>
        <w:szCs w:val="24"/>
      </w:rPr>
      <w:instrText xml:space="preserve"> PAGE   \* MERGEFORMAT </w:instrText>
    </w:r>
    <w:r w:rsidRPr="00A514E8">
      <w:rPr>
        <w:szCs w:val="24"/>
      </w:rPr>
      <w:fldChar w:fldCharType="separate"/>
    </w:r>
    <w:r w:rsidRPr="00A514E8">
      <w:rPr>
        <w:noProof/>
        <w:szCs w:val="24"/>
      </w:rPr>
      <w:t>1</w:t>
    </w:r>
    <w:r w:rsidRPr="00A514E8">
      <w:rPr>
        <w:noProof/>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388F" w14:textId="77777777" w:rsidR="00453E4E" w:rsidRPr="00CF0149" w:rsidRDefault="00453E4E">
    <w:pPr>
      <w:pStyle w:val="Footer"/>
      <w:rPr>
        <w:szCs w:val="24"/>
      </w:rPr>
    </w:pPr>
    <w:r w:rsidRPr="00CF0149">
      <w:rPr>
        <w:szCs w:val="24"/>
      </w:rPr>
      <w:t>California Department o</w:t>
    </w:r>
    <w:r>
      <w:rPr>
        <w:szCs w:val="24"/>
      </w:rPr>
      <w:t>f Education</w:t>
    </w:r>
    <w:r>
      <w:rPr>
        <w:szCs w:val="24"/>
      </w:rPr>
      <w:tab/>
      <w:t>2</w:t>
    </w:r>
    <w:r>
      <w:rPr>
        <w:szCs w:val="24"/>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2C45" w14:textId="77777777" w:rsidR="00453E4E" w:rsidRPr="00CF0149" w:rsidRDefault="00453E4E" w:rsidP="00997DAC">
    <w:pPr>
      <w:pStyle w:val="Footer"/>
      <w:jc w:val="center"/>
      <w:rPr>
        <w:szCs w:val="24"/>
      </w:rPr>
    </w:pPr>
    <w:r w:rsidRPr="00274E42">
      <w:rPr>
        <w:szCs w:val="24"/>
      </w:rPr>
      <w:fldChar w:fldCharType="begin"/>
    </w:r>
    <w:r w:rsidRPr="00274E42">
      <w:rPr>
        <w:szCs w:val="24"/>
      </w:rPr>
      <w:instrText xml:space="preserve"> PAGE   \* MERGEFORMAT </w:instrText>
    </w:r>
    <w:r w:rsidRPr="00274E42">
      <w:rPr>
        <w:szCs w:val="24"/>
      </w:rPr>
      <w:fldChar w:fldCharType="separate"/>
    </w:r>
    <w:r w:rsidRPr="00274E42">
      <w:rPr>
        <w:noProof/>
        <w:szCs w:val="24"/>
      </w:rPr>
      <w:t>1</w:t>
    </w:r>
    <w:r w:rsidRPr="00274E42">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931706"/>
      <w:docPartObj>
        <w:docPartGallery w:val="Page Numbers (Bottom of Page)"/>
        <w:docPartUnique/>
      </w:docPartObj>
    </w:sdtPr>
    <w:sdtEndPr>
      <w:rPr>
        <w:noProof/>
      </w:rPr>
    </w:sdtEndPr>
    <w:sdtContent>
      <w:p w14:paraId="2EF96216" w14:textId="104E0465" w:rsidR="00453E4E" w:rsidRDefault="00453E4E" w:rsidP="00453E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0E2E5" w14:textId="77777777" w:rsidR="00453E4E" w:rsidRDefault="00453E4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672416"/>
      <w:docPartObj>
        <w:docPartGallery w:val="Page Numbers (Bottom of Page)"/>
        <w:docPartUnique/>
      </w:docPartObj>
    </w:sdtPr>
    <w:sdtEndPr>
      <w:rPr>
        <w:noProof/>
      </w:rPr>
    </w:sdtEndPr>
    <w:sdtContent>
      <w:p w14:paraId="7B0C8AFC" w14:textId="507E908E" w:rsidR="00453E4E" w:rsidRDefault="00453E4E" w:rsidP="006F63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14EA" w14:textId="77777777" w:rsidR="00453E4E" w:rsidRDefault="00453E4E" w:rsidP="00EE6368">
    <w:pPr>
      <w:pStyle w:val="Footer"/>
      <w:jc w:val="center"/>
    </w:pPr>
    <w:r>
      <w:fldChar w:fldCharType="begin"/>
    </w:r>
    <w:r>
      <w:instrText xml:space="preserve"> PAGE   \* MERGEFORMAT </w:instrText>
    </w:r>
    <w:r>
      <w:fldChar w:fldCharType="separate"/>
    </w:r>
    <w:r>
      <w:rPr>
        <w:noProof/>
      </w:rPr>
      <w:t>36</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735978"/>
      <w:docPartObj>
        <w:docPartGallery w:val="Page Numbers (Bottom of Page)"/>
        <w:docPartUnique/>
      </w:docPartObj>
    </w:sdtPr>
    <w:sdtEndPr>
      <w:rPr>
        <w:noProof/>
      </w:rPr>
    </w:sdtEndPr>
    <w:sdtContent>
      <w:p w14:paraId="5AD3C6B1" w14:textId="77777777" w:rsidR="00453E4E" w:rsidRDefault="00453E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465143"/>
      <w:docPartObj>
        <w:docPartGallery w:val="Page Numbers (Bottom of Page)"/>
        <w:docPartUnique/>
      </w:docPartObj>
    </w:sdtPr>
    <w:sdtEndPr>
      <w:rPr>
        <w:noProof/>
      </w:rPr>
    </w:sdtEndPr>
    <w:sdtContent>
      <w:p w14:paraId="76DF7C9D" w14:textId="77777777" w:rsidR="00453E4E" w:rsidRDefault="00453E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956581"/>
      <w:docPartObj>
        <w:docPartGallery w:val="Page Numbers (Bottom of Page)"/>
        <w:docPartUnique/>
      </w:docPartObj>
    </w:sdtPr>
    <w:sdtEndPr>
      <w:rPr>
        <w:noProof/>
      </w:rPr>
    </w:sdtEndPr>
    <w:sdtContent>
      <w:p w14:paraId="0E31C74A" w14:textId="77777777" w:rsidR="00453E4E" w:rsidRDefault="00453E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996961"/>
      <w:docPartObj>
        <w:docPartGallery w:val="Page Numbers (Bottom of Page)"/>
        <w:docPartUnique/>
      </w:docPartObj>
    </w:sdtPr>
    <w:sdtEndPr>
      <w:rPr>
        <w:noProof/>
      </w:rPr>
    </w:sdtEndPr>
    <w:sdtContent>
      <w:p w14:paraId="199AD639" w14:textId="77777777" w:rsidR="00453E4E" w:rsidRDefault="00453E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4967C" w14:textId="77777777" w:rsidR="00D36F0E" w:rsidRDefault="00D36F0E" w:rsidP="00BD3742">
      <w:r>
        <w:separator/>
      </w:r>
    </w:p>
  </w:footnote>
  <w:footnote w:type="continuationSeparator" w:id="0">
    <w:p w14:paraId="7E630322" w14:textId="77777777" w:rsidR="00D36F0E" w:rsidRDefault="00D36F0E" w:rsidP="00BD3742">
      <w:r>
        <w:continuationSeparator/>
      </w:r>
    </w:p>
  </w:footnote>
  <w:footnote w:id="1">
    <w:p w14:paraId="18DD8EF9" w14:textId="04EF28D5" w:rsidR="00453E4E" w:rsidRPr="00BF1C15" w:rsidRDefault="00453E4E" w:rsidP="00BF1C15">
      <w:pPr>
        <w:pStyle w:val="FootnoteText"/>
        <w:spacing w:after="120"/>
        <w:rPr>
          <w:sz w:val="24"/>
          <w:szCs w:val="24"/>
        </w:rPr>
      </w:pPr>
      <w:r w:rsidRPr="00BF1C15">
        <w:rPr>
          <w:rStyle w:val="FootnoteReference"/>
          <w:sz w:val="24"/>
          <w:szCs w:val="24"/>
        </w:rPr>
        <w:footnoteRef/>
      </w:r>
      <w:r w:rsidRPr="00BF1C15">
        <w:rPr>
          <w:sz w:val="24"/>
          <w:szCs w:val="24"/>
        </w:rPr>
        <w:t xml:space="preserve"> California Comprehensive State Literacy Plan. Page </w:t>
      </w:r>
      <w:r>
        <w:rPr>
          <w:sz w:val="24"/>
          <w:szCs w:val="24"/>
        </w:rPr>
        <w:t>32</w:t>
      </w:r>
      <w:r w:rsidRPr="00BF1C15">
        <w:rPr>
          <w:sz w:val="24"/>
          <w:szCs w:val="24"/>
        </w:rPr>
        <w:t xml:space="preserve">. Adopted by the California State Board of Education March 2021. Accessed on October 6, 2021. </w:t>
      </w:r>
      <w:hyperlink r:id="rId1" w:tooltip="California Comprehensive State Literacy Plan" w:history="1">
        <w:r w:rsidRPr="00BF1C15">
          <w:rPr>
            <w:rStyle w:val="Hyperlink"/>
            <w:sz w:val="24"/>
            <w:szCs w:val="24"/>
          </w:rPr>
          <w:t>https://www.cde.ca.gov/pd/ps/documents/stateliteracyplan2021fin.docx</w:t>
        </w:r>
      </w:hyperlink>
    </w:p>
  </w:footnote>
  <w:footnote w:id="2">
    <w:p w14:paraId="06C2A5C6" w14:textId="77777777" w:rsidR="00453E4E" w:rsidRDefault="00453E4E">
      <w:pPr>
        <w:pStyle w:val="FootnoteText"/>
      </w:pPr>
      <w:r>
        <w:rPr>
          <w:rStyle w:val="FootnoteReference"/>
        </w:rPr>
        <w:footnoteRef/>
      </w:r>
      <w:r>
        <w:t xml:space="preserve"> </w:t>
      </w:r>
      <w:r w:rsidRPr="00BF1C15">
        <w:rPr>
          <w:sz w:val="24"/>
          <w:szCs w:val="24"/>
        </w:rPr>
        <w:t xml:space="preserve">California Comprehensive State Literacy Plan. Page </w:t>
      </w:r>
      <w:r>
        <w:rPr>
          <w:sz w:val="24"/>
          <w:szCs w:val="24"/>
        </w:rPr>
        <w:t>1</w:t>
      </w:r>
      <w:r w:rsidRPr="00BF1C15">
        <w:rPr>
          <w:sz w:val="24"/>
          <w:szCs w:val="24"/>
        </w:rPr>
        <w:t xml:space="preserve">2. </w:t>
      </w:r>
    </w:p>
  </w:footnote>
  <w:footnote w:id="3">
    <w:p w14:paraId="745E630F" w14:textId="6735363B" w:rsidR="00453E4E" w:rsidRDefault="00453E4E" w:rsidP="00B6068E">
      <w:pPr>
        <w:pStyle w:val="FootnoteText"/>
        <w:rPr>
          <w:bCs/>
          <w:sz w:val="24"/>
          <w:szCs w:val="24"/>
        </w:rPr>
      </w:pPr>
      <w:r w:rsidRPr="00BF1C15">
        <w:rPr>
          <w:rStyle w:val="FootnoteReference"/>
          <w:sz w:val="24"/>
          <w:szCs w:val="24"/>
        </w:rPr>
        <w:footnoteRef/>
      </w:r>
      <w:r w:rsidRPr="00BF1C15">
        <w:rPr>
          <w:sz w:val="24"/>
          <w:szCs w:val="24"/>
        </w:rPr>
        <w:t xml:space="preserve"> California Department of Education. 2021. Culturally Sustaining Pedagogy. </w:t>
      </w:r>
      <w:hyperlink r:id="rId2" w:tooltip="Culturally Sustaining Pedagogy" w:history="1">
        <w:r w:rsidRPr="00BF1C15">
          <w:rPr>
            <w:rStyle w:val="Hyperlink"/>
            <w:sz w:val="24"/>
            <w:szCs w:val="24"/>
          </w:rPr>
          <w:t>https://www.cde.ca.gov/pd/ee/culturallysustainingped.asp</w:t>
        </w:r>
      </w:hyperlink>
      <w:r w:rsidRPr="00BF1C15">
        <w:rPr>
          <w:sz w:val="24"/>
          <w:szCs w:val="24"/>
        </w:rPr>
        <w:t xml:space="preserve"> </w:t>
      </w:r>
      <w:r w:rsidRPr="00BF1C15">
        <w:rPr>
          <w:bCs/>
          <w:sz w:val="24"/>
          <w:szCs w:val="24"/>
        </w:rPr>
        <w:t xml:space="preserve">(accessed </w:t>
      </w:r>
    </w:p>
    <w:p w14:paraId="640B3740" w14:textId="77777777" w:rsidR="00453E4E" w:rsidRPr="007F78E3" w:rsidRDefault="00453E4E" w:rsidP="00BF1C15">
      <w:pPr>
        <w:pStyle w:val="FootnoteText"/>
        <w:spacing w:after="120"/>
      </w:pPr>
      <w:r w:rsidRPr="00BF1C15">
        <w:rPr>
          <w:bCs/>
          <w:sz w:val="24"/>
          <w:szCs w:val="24"/>
        </w:rPr>
        <w:t>September 23, 2021).</w:t>
      </w:r>
    </w:p>
  </w:footnote>
  <w:footnote w:id="4">
    <w:p w14:paraId="1D537562" w14:textId="77777777" w:rsidR="00453E4E" w:rsidRPr="00EC203A" w:rsidRDefault="00453E4E" w:rsidP="00791137">
      <w:pPr>
        <w:pStyle w:val="NormalWeb"/>
        <w:spacing w:before="0" w:beforeAutospacing="0" w:after="120" w:afterAutospacing="0"/>
        <w:rPr>
          <w:rFonts w:ascii="Arial" w:hAnsi="Arial" w:cs="Arial"/>
        </w:rPr>
      </w:pPr>
      <w:r w:rsidRPr="00EC203A">
        <w:rPr>
          <w:rStyle w:val="FootnoteReference"/>
          <w:rFonts w:ascii="Arial" w:hAnsi="Arial" w:cs="Arial"/>
        </w:rPr>
        <w:footnoteRef/>
      </w:r>
      <w:r w:rsidRPr="00EC203A">
        <w:rPr>
          <w:rFonts w:ascii="Arial" w:hAnsi="Arial" w:cs="Arial"/>
        </w:rPr>
        <w:t xml:space="preserve"> </w:t>
      </w:r>
      <w:r w:rsidRPr="00EC203A">
        <w:rPr>
          <w:rFonts w:ascii="Arial" w:hAnsi="Arial" w:cs="Arial"/>
          <w:color w:val="000000"/>
        </w:rPr>
        <w:t>Darling-Hammond, L., &amp; Cook-Harvey, C. M. (2018). </w:t>
      </w:r>
      <w:r w:rsidRPr="00EC203A">
        <w:rPr>
          <w:rFonts w:ascii="Arial" w:hAnsi="Arial" w:cs="Arial"/>
          <w:i/>
          <w:iCs/>
          <w:color w:val="000000"/>
        </w:rPr>
        <w:t>Educating the whole child: Improving school climate to support student success</w:t>
      </w:r>
      <w:r w:rsidRPr="00EC203A">
        <w:rPr>
          <w:rFonts w:ascii="Arial" w:hAnsi="Arial" w:cs="Arial"/>
          <w:b/>
          <w:bCs/>
          <w:i/>
          <w:iCs/>
          <w:color w:val="000000"/>
        </w:rPr>
        <w:t> </w:t>
      </w:r>
      <w:r w:rsidRPr="00EC203A">
        <w:rPr>
          <w:rFonts w:ascii="Arial" w:hAnsi="Arial" w:cs="Arial"/>
          <w:color w:val="000000"/>
        </w:rPr>
        <w:t>(research brief).</w:t>
      </w:r>
      <w:r w:rsidRPr="00EC203A">
        <w:rPr>
          <w:rFonts w:ascii="Arial" w:hAnsi="Arial" w:cs="Arial"/>
          <w:i/>
          <w:iCs/>
          <w:color w:val="000000"/>
        </w:rPr>
        <w:t> </w:t>
      </w:r>
      <w:r w:rsidRPr="00EC203A">
        <w:rPr>
          <w:rFonts w:ascii="Arial" w:hAnsi="Arial" w:cs="Arial"/>
          <w:color w:val="000000"/>
        </w:rPr>
        <w:t>Palo Alto, CA: Learning Policy Institute</w:t>
      </w:r>
      <w:r>
        <w:rPr>
          <w:rFonts w:ascii="Arial" w:hAnsi="Arial" w:cs="Arial"/>
          <w:color w:val="000000"/>
        </w:rPr>
        <w:t>.</w:t>
      </w:r>
    </w:p>
    <w:p w14:paraId="25CAEFFE" w14:textId="6899FBCE" w:rsidR="00453E4E" w:rsidRPr="00EC203A" w:rsidRDefault="00453E4E" w:rsidP="00901985">
      <w:pPr>
        <w:pStyle w:val="NormalWeb"/>
        <w:spacing w:before="0" w:beforeAutospacing="0" w:after="0" w:afterAutospacing="0"/>
        <w:rPr>
          <w:rFonts w:ascii="Arial" w:hAnsi="Arial" w:cs="Arial"/>
        </w:rPr>
      </w:pPr>
      <w:r>
        <w:rPr>
          <w:rStyle w:val="FootnoteReference"/>
          <w:rFonts w:ascii="Arial" w:hAnsi="Arial" w:cs="Arial"/>
        </w:rPr>
        <w:t>5</w:t>
      </w:r>
      <w:r w:rsidRPr="00EC203A">
        <w:rPr>
          <w:rFonts w:ascii="Arial" w:hAnsi="Arial" w:cs="Arial"/>
        </w:rPr>
        <w:t xml:space="preserve"> </w:t>
      </w:r>
      <w:r w:rsidRPr="00EC203A">
        <w:rPr>
          <w:rFonts w:ascii="Arial" w:hAnsi="Arial" w:cs="Arial"/>
          <w:i/>
          <w:iCs/>
          <w:color w:val="000000"/>
        </w:rPr>
        <w:t xml:space="preserve">From a Nation at Risk to a Nation at Hope. </w:t>
      </w:r>
      <w:r w:rsidRPr="00EC203A">
        <w:rPr>
          <w:rFonts w:ascii="Arial" w:hAnsi="Arial" w:cs="Arial"/>
          <w:color w:val="000000"/>
        </w:rPr>
        <w:t xml:space="preserve">Recommendations from the Aspen Institute National Commission on Social, Emotional, &amp; Academic Development. 2019. </w:t>
      </w:r>
      <w:hyperlink r:id="rId3" w:tooltip="From a Nation at Risk to a Nation at Hope" w:history="1">
        <w:r w:rsidRPr="00EC203A">
          <w:rPr>
            <w:rStyle w:val="Hyperlink"/>
            <w:rFonts w:ascii="Arial" w:eastAsiaTheme="majorEastAsia" w:hAnsi="Arial" w:cs="Arial"/>
          </w:rPr>
          <w:t>http://nationathope.org/report-from-the-nation/</w:t>
        </w:r>
      </w:hyperlink>
    </w:p>
  </w:footnote>
  <w:footnote w:id="5">
    <w:p w14:paraId="7565B05F" w14:textId="77777777" w:rsidR="00453E4E" w:rsidRDefault="00453E4E" w:rsidP="00536916">
      <w:pPr>
        <w:pStyle w:val="FootnoteText"/>
      </w:pPr>
    </w:p>
  </w:footnote>
  <w:footnote w:id="6">
    <w:p w14:paraId="592C2931" w14:textId="06A6AE30" w:rsidR="00453E4E" w:rsidRDefault="00453E4E" w:rsidP="00B42489">
      <w:pPr>
        <w:pStyle w:val="FootnoteText"/>
      </w:pPr>
      <w:r w:rsidRPr="00BF1C15">
        <w:rPr>
          <w:rStyle w:val="FootnoteReference"/>
          <w:sz w:val="24"/>
          <w:szCs w:val="24"/>
        </w:rPr>
        <w:footnoteRef/>
      </w:r>
      <w:r w:rsidRPr="00BF1C15">
        <w:rPr>
          <w:sz w:val="24"/>
          <w:szCs w:val="24"/>
        </w:rPr>
        <w:t xml:space="preserve"> California Comprehensive State Literacy Plan. Page </w:t>
      </w:r>
      <w:r>
        <w:rPr>
          <w:sz w:val="24"/>
          <w:szCs w:val="24"/>
        </w:rPr>
        <w:t>32</w:t>
      </w:r>
      <w:r w:rsidRPr="00BF1C15">
        <w:rPr>
          <w:sz w:val="24"/>
          <w:szCs w:val="24"/>
        </w:rPr>
        <w:t>. Adopted by the California State Board of Education</w:t>
      </w:r>
      <w:r>
        <w:rPr>
          <w:sz w:val="24"/>
          <w:szCs w:val="24"/>
        </w:rPr>
        <w:t>,</w:t>
      </w:r>
      <w:r w:rsidRPr="00BF1C15">
        <w:rPr>
          <w:sz w:val="24"/>
          <w:szCs w:val="24"/>
        </w:rPr>
        <w:t xml:space="preserve"> March 2021. Accessed on October 6, 2021. </w:t>
      </w:r>
      <w:hyperlink r:id="rId4" w:tooltip="California Comprehensive State Literacy Plan" w:history="1">
        <w:r w:rsidRPr="00BF1C15">
          <w:rPr>
            <w:rStyle w:val="Hyperlink"/>
            <w:sz w:val="24"/>
            <w:szCs w:val="24"/>
          </w:rPr>
          <w:t>https://www.cde.ca.gov/pd/ps/documents/stateliteracyplan2021fin.docx</w:t>
        </w:r>
      </w:hyperlink>
    </w:p>
  </w:footnote>
  <w:footnote w:id="7">
    <w:p w14:paraId="0E35203C" w14:textId="16579C4F" w:rsidR="00453E4E" w:rsidRDefault="00453E4E">
      <w:pPr>
        <w:pStyle w:val="FootnoteText"/>
      </w:pPr>
      <w:r w:rsidRPr="00BF1C15">
        <w:rPr>
          <w:rStyle w:val="FootnoteReference"/>
          <w:sz w:val="24"/>
          <w:szCs w:val="24"/>
        </w:rPr>
        <w:footnoteRef/>
      </w:r>
      <w:r w:rsidRPr="00BF1C15">
        <w:rPr>
          <w:sz w:val="24"/>
          <w:szCs w:val="24"/>
        </w:rPr>
        <w:t xml:space="preserve"> California Comprehensive State Literacy Plan. Page </w:t>
      </w:r>
      <w:r>
        <w:rPr>
          <w:sz w:val="24"/>
          <w:szCs w:val="24"/>
        </w:rPr>
        <w:t>32</w:t>
      </w:r>
      <w:r w:rsidRPr="00BF1C15">
        <w:rPr>
          <w:sz w:val="24"/>
          <w:szCs w:val="24"/>
        </w:rPr>
        <w:t xml:space="preserve">. Adopted by the California State Board of Education March 2021. Accessed on October 6, 2021. </w:t>
      </w:r>
      <w:hyperlink r:id="rId5" w:tooltip="California Comprehensive State Literacy Plan" w:history="1">
        <w:r w:rsidRPr="00BF1C15">
          <w:rPr>
            <w:rStyle w:val="Hyperlink"/>
            <w:sz w:val="24"/>
            <w:szCs w:val="24"/>
          </w:rPr>
          <w:t>https://www.cde.ca.gov/pd/ps/documents/stateliteracyplan2021fin.docx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4106" w14:textId="77777777" w:rsidR="00AC30D8" w:rsidRDefault="00AC30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654B" w14:textId="59DAE64D" w:rsidR="00453E4E" w:rsidRDefault="00453E4E" w:rsidP="00FD27A0">
    <w:pPr>
      <w:pStyle w:val="Header"/>
      <w:jc w:val="right"/>
    </w:pPr>
    <w:r>
      <w:t>Appendix 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51EA" w14:textId="576327D5" w:rsidR="00453E4E" w:rsidRDefault="00453E4E" w:rsidP="00AB0DBD">
    <w:pPr>
      <w:pStyle w:val="Header"/>
      <w:jc w:val="right"/>
    </w:pPr>
    <w:r>
      <w:t>Appendix B</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59F5" w14:textId="03608037" w:rsidR="00453E4E" w:rsidRPr="00BD29EE" w:rsidRDefault="00453E4E" w:rsidP="006F637A">
    <w:pPr>
      <w:pStyle w:val="Header"/>
      <w:jc w:val="right"/>
    </w:pPr>
    <w:r>
      <w:t>Appendix C</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47A4" w14:textId="77777777" w:rsidR="00453E4E" w:rsidRDefault="00453E4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7889" w14:textId="5D1F17AE" w:rsidR="00453E4E" w:rsidRDefault="00453E4E" w:rsidP="00F11F72">
    <w:pPr>
      <w:pStyle w:val="Header"/>
      <w:jc w:val="right"/>
    </w:pPr>
    <w:r>
      <w:t>Form 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D23A" w14:textId="77777777" w:rsidR="00453E4E" w:rsidRDefault="00453E4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5A0F" w14:textId="7AC1E103" w:rsidR="00453E4E" w:rsidRDefault="00453E4E" w:rsidP="00F11F72">
    <w:pPr>
      <w:pStyle w:val="Header"/>
      <w:jc w:val="right"/>
    </w:pPr>
    <w:r>
      <w:t>Form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BCF1" w14:textId="77777777" w:rsidR="00AC30D8" w:rsidRDefault="00AC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7B0F" w14:textId="77777777" w:rsidR="00AC30D8" w:rsidRDefault="00AC30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18CB" w14:textId="77777777" w:rsidR="00453E4E" w:rsidRDefault="00453E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C2" w14:textId="77777777" w:rsidR="00453E4E" w:rsidRDefault="00453E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2CA4E" w14:textId="77777777" w:rsidR="00453E4E" w:rsidRDefault="00453E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AD72" w14:textId="77777777" w:rsidR="00453E4E" w:rsidRDefault="00453E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8E40" w14:textId="77777777" w:rsidR="00453E4E" w:rsidRPr="00D5319F" w:rsidRDefault="00453E4E" w:rsidP="00D531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01F2" w14:textId="77777777" w:rsidR="00453E4E" w:rsidRDefault="00453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881"/>
    <w:multiLevelType w:val="hybridMultilevel"/>
    <w:tmpl w:val="E3D40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7E77A0"/>
    <w:multiLevelType w:val="hybridMultilevel"/>
    <w:tmpl w:val="1E921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363F0"/>
    <w:multiLevelType w:val="hybridMultilevel"/>
    <w:tmpl w:val="519E898C"/>
    <w:lvl w:ilvl="0" w:tplc="D7AC8E70">
      <w:start w:val="3"/>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05FA74ED"/>
    <w:multiLevelType w:val="hybridMultilevel"/>
    <w:tmpl w:val="FF1A25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2B4F59"/>
    <w:multiLevelType w:val="hybridMultilevel"/>
    <w:tmpl w:val="AF9C8836"/>
    <w:lvl w:ilvl="0" w:tplc="148A76BE">
      <w:start w:val="4"/>
      <w:numFmt w:val="lowerLetter"/>
      <w:lvlText w:val="%1."/>
      <w:lvlJc w:val="left"/>
      <w:pPr>
        <w:tabs>
          <w:tab w:val="num" w:pos="720"/>
        </w:tabs>
        <w:ind w:left="720" w:hanging="360"/>
      </w:pPr>
    </w:lvl>
    <w:lvl w:ilvl="1" w:tplc="D55A8D78" w:tentative="1">
      <w:start w:val="1"/>
      <w:numFmt w:val="decimal"/>
      <w:lvlText w:val="%2."/>
      <w:lvlJc w:val="left"/>
      <w:pPr>
        <w:tabs>
          <w:tab w:val="num" w:pos="1440"/>
        </w:tabs>
        <w:ind w:left="1440" w:hanging="360"/>
      </w:pPr>
    </w:lvl>
    <w:lvl w:ilvl="2" w:tplc="CE58B670" w:tentative="1">
      <w:start w:val="1"/>
      <w:numFmt w:val="decimal"/>
      <w:lvlText w:val="%3."/>
      <w:lvlJc w:val="left"/>
      <w:pPr>
        <w:tabs>
          <w:tab w:val="num" w:pos="2160"/>
        </w:tabs>
        <w:ind w:left="2160" w:hanging="360"/>
      </w:pPr>
    </w:lvl>
    <w:lvl w:ilvl="3" w:tplc="59626982" w:tentative="1">
      <w:start w:val="1"/>
      <w:numFmt w:val="decimal"/>
      <w:lvlText w:val="%4."/>
      <w:lvlJc w:val="left"/>
      <w:pPr>
        <w:tabs>
          <w:tab w:val="num" w:pos="2880"/>
        </w:tabs>
        <w:ind w:left="2880" w:hanging="360"/>
      </w:pPr>
    </w:lvl>
    <w:lvl w:ilvl="4" w:tplc="FBEE9248" w:tentative="1">
      <w:start w:val="1"/>
      <w:numFmt w:val="decimal"/>
      <w:lvlText w:val="%5."/>
      <w:lvlJc w:val="left"/>
      <w:pPr>
        <w:tabs>
          <w:tab w:val="num" w:pos="3600"/>
        </w:tabs>
        <w:ind w:left="3600" w:hanging="360"/>
      </w:pPr>
    </w:lvl>
    <w:lvl w:ilvl="5" w:tplc="53A8C268" w:tentative="1">
      <w:start w:val="1"/>
      <w:numFmt w:val="decimal"/>
      <w:lvlText w:val="%6."/>
      <w:lvlJc w:val="left"/>
      <w:pPr>
        <w:tabs>
          <w:tab w:val="num" w:pos="4320"/>
        </w:tabs>
        <w:ind w:left="4320" w:hanging="360"/>
      </w:pPr>
    </w:lvl>
    <w:lvl w:ilvl="6" w:tplc="C23AB546" w:tentative="1">
      <w:start w:val="1"/>
      <w:numFmt w:val="decimal"/>
      <w:lvlText w:val="%7."/>
      <w:lvlJc w:val="left"/>
      <w:pPr>
        <w:tabs>
          <w:tab w:val="num" w:pos="5040"/>
        </w:tabs>
        <w:ind w:left="5040" w:hanging="360"/>
      </w:pPr>
    </w:lvl>
    <w:lvl w:ilvl="7" w:tplc="E9DC206C" w:tentative="1">
      <w:start w:val="1"/>
      <w:numFmt w:val="decimal"/>
      <w:lvlText w:val="%8."/>
      <w:lvlJc w:val="left"/>
      <w:pPr>
        <w:tabs>
          <w:tab w:val="num" w:pos="5760"/>
        </w:tabs>
        <w:ind w:left="5760" w:hanging="360"/>
      </w:pPr>
    </w:lvl>
    <w:lvl w:ilvl="8" w:tplc="2208F56C" w:tentative="1">
      <w:start w:val="1"/>
      <w:numFmt w:val="decimal"/>
      <w:lvlText w:val="%9."/>
      <w:lvlJc w:val="left"/>
      <w:pPr>
        <w:tabs>
          <w:tab w:val="num" w:pos="6480"/>
        </w:tabs>
        <w:ind w:left="6480" w:hanging="360"/>
      </w:pPr>
    </w:lvl>
  </w:abstractNum>
  <w:abstractNum w:abstractNumId="5" w15:restartNumberingAfterBreak="0">
    <w:nsid w:val="08892413"/>
    <w:multiLevelType w:val="hybridMultilevel"/>
    <w:tmpl w:val="575E26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70675A"/>
    <w:multiLevelType w:val="hybridMultilevel"/>
    <w:tmpl w:val="821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51361"/>
    <w:multiLevelType w:val="hybridMultilevel"/>
    <w:tmpl w:val="6720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F06D7"/>
    <w:multiLevelType w:val="hybridMultilevel"/>
    <w:tmpl w:val="9342C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063493"/>
    <w:multiLevelType w:val="hybridMultilevel"/>
    <w:tmpl w:val="3692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504D8"/>
    <w:multiLevelType w:val="hybridMultilevel"/>
    <w:tmpl w:val="C706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B2BA0"/>
    <w:multiLevelType w:val="hybridMultilevel"/>
    <w:tmpl w:val="0F2C57A6"/>
    <w:lvl w:ilvl="0" w:tplc="985C6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344A03"/>
    <w:multiLevelType w:val="hybridMultilevel"/>
    <w:tmpl w:val="18C46C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8EB2304"/>
    <w:multiLevelType w:val="multilevel"/>
    <w:tmpl w:val="2668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2840DA"/>
    <w:multiLevelType w:val="hybridMultilevel"/>
    <w:tmpl w:val="4E5E0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A968D6"/>
    <w:multiLevelType w:val="multilevel"/>
    <w:tmpl w:val="4A146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BD03A2"/>
    <w:multiLevelType w:val="hybridMultilevel"/>
    <w:tmpl w:val="F5460D48"/>
    <w:lvl w:ilvl="0" w:tplc="0409000F">
      <w:start w:val="1"/>
      <w:numFmt w:val="decimal"/>
      <w:lvlText w:val="%1."/>
      <w:lvlJc w:val="left"/>
      <w:pPr>
        <w:ind w:left="4692" w:hanging="360"/>
      </w:pPr>
    </w:lvl>
    <w:lvl w:ilvl="1" w:tplc="04090019" w:tentative="1">
      <w:start w:val="1"/>
      <w:numFmt w:val="lowerLetter"/>
      <w:lvlText w:val="%2."/>
      <w:lvlJc w:val="left"/>
      <w:pPr>
        <w:ind w:left="5412" w:hanging="360"/>
      </w:pPr>
    </w:lvl>
    <w:lvl w:ilvl="2" w:tplc="0409001B" w:tentative="1">
      <w:start w:val="1"/>
      <w:numFmt w:val="lowerRoman"/>
      <w:lvlText w:val="%3."/>
      <w:lvlJc w:val="right"/>
      <w:pPr>
        <w:ind w:left="6132" w:hanging="180"/>
      </w:pPr>
    </w:lvl>
    <w:lvl w:ilvl="3" w:tplc="0409000F" w:tentative="1">
      <w:start w:val="1"/>
      <w:numFmt w:val="decimal"/>
      <w:lvlText w:val="%4."/>
      <w:lvlJc w:val="left"/>
      <w:pPr>
        <w:ind w:left="6852" w:hanging="360"/>
      </w:pPr>
    </w:lvl>
    <w:lvl w:ilvl="4" w:tplc="04090019" w:tentative="1">
      <w:start w:val="1"/>
      <w:numFmt w:val="lowerLetter"/>
      <w:lvlText w:val="%5."/>
      <w:lvlJc w:val="left"/>
      <w:pPr>
        <w:ind w:left="7572" w:hanging="360"/>
      </w:pPr>
    </w:lvl>
    <w:lvl w:ilvl="5" w:tplc="0409001B" w:tentative="1">
      <w:start w:val="1"/>
      <w:numFmt w:val="lowerRoman"/>
      <w:lvlText w:val="%6."/>
      <w:lvlJc w:val="right"/>
      <w:pPr>
        <w:ind w:left="8292" w:hanging="180"/>
      </w:pPr>
    </w:lvl>
    <w:lvl w:ilvl="6" w:tplc="0409000F" w:tentative="1">
      <w:start w:val="1"/>
      <w:numFmt w:val="decimal"/>
      <w:lvlText w:val="%7."/>
      <w:lvlJc w:val="left"/>
      <w:pPr>
        <w:ind w:left="9012" w:hanging="360"/>
      </w:pPr>
    </w:lvl>
    <w:lvl w:ilvl="7" w:tplc="04090019" w:tentative="1">
      <w:start w:val="1"/>
      <w:numFmt w:val="lowerLetter"/>
      <w:lvlText w:val="%8."/>
      <w:lvlJc w:val="left"/>
      <w:pPr>
        <w:ind w:left="9732" w:hanging="360"/>
      </w:pPr>
    </w:lvl>
    <w:lvl w:ilvl="8" w:tplc="0409001B" w:tentative="1">
      <w:start w:val="1"/>
      <w:numFmt w:val="lowerRoman"/>
      <w:lvlText w:val="%9."/>
      <w:lvlJc w:val="right"/>
      <w:pPr>
        <w:ind w:left="10452" w:hanging="180"/>
      </w:pPr>
    </w:lvl>
  </w:abstractNum>
  <w:abstractNum w:abstractNumId="17" w15:restartNumberingAfterBreak="0">
    <w:nsid w:val="1B0B3E7B"/>
    <w:multiLevelType w:val="hybridMultilevel"/>
    <w:tmpl w:val="5A9E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BE64E4"/>
    <w:multiLevelType w:val="hybridMultilevel"/>
    <w:tmpl w:val="3E000C8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1D3C343E"/>
    <w:multiLevelType w:val="hybridMultilevel"/>
    <w:tmpl w:val="DF1A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0918E2"/>
    <w:multiLevelType w:val="hybridMultilevel"/>
    <w:tmpl w:val="128CFBE8"/>
    <w:lvl w:ilvl="0" w:tplc="D580497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211C5EB5"/>
    <w:multiLevelType w:val="hybridMultilevel"/>
    <w:tmpl w:val="0C824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2F3269"/>
    <w:multiLevelType w:val="hybridMultilevel"/>
    <w:tmpl w:val="309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0C69F9"/>
    <w:multiLevelType w:val="hybridMultilevel"/>
    <w:tmpl w:val="7EF61DAE"/>
    <w:lvl w:ilvl="0" w:tplc="E45073EE">
      <w:start w:val="3"/>
      <w:numFmt w:val="lowerLetter"/>
      <w:lvlText w:val="%1."/>
      <w:lvlJc w:val="left"/>
      <w:pPr>
        <w:tabs>
          <w:tab w:val="num" w:pos="720"/>
        </w:tabs>
        <w:ind w:left="720" w:hanging="360"/>
      </w:pPr>
    </w:lvl>
    <w:lvl w:ilvl="1" w:tplc="CBD65C6E" w:tentative="1">
      <w:start w:val="1"/>
      <w:numFmt w:val="decimal"/>
      <w:lvlText w:val="%2."/>
      <w:lvlJc w:val="left"/>
      <w:pPr>
        <w:tabs>
          <w:tab w:val="num" w:pos="1440"/>
        </w:tabs>
        <w:ind w:left="1440" w:hanging="360"/>
      </w:pPr>
    </w:lvl>
    <w:lvl w:ilvl="2" w:tplc="3C143D80" w:tentative="1">
      <w:start w:val="1"/>
      <w:numFmt w:val="decimal"/>
      <w:lvlText w:val="%3."/>
      <w:lvlJc w:val="left"/>
      <w:pPr>
        <w:tabs>
          <w:tab w:val="num" w:pos="2160"/>
        </w:tabs>
        <w:ind w:left="2160" w:hanging="360"/>
      </w:pPr>
    </w:lvl>
    <w:lvl w:ilvl="3" w:tplc="EC6C8A58" w:tentative="1">
      <w:start w:val="1"/>
      <w:numFmt w:val="decimal"/>
      <w:lvlText w:val="%4."/>
      <w:lvlJc w:val="left"/>
      <w:pPr>
        <w:tabs>
          <w:tab w:val="num" w:pos="2880"/>
        </w:tabs>
        <w:ind w:left="2880" w:hanging="360"/>
      </w:pPr>
    </w:lvl>
    <w:lvl w:ilvl="4" w:tplc="C8ECBC70" w:tentative="1">
      <w:start w:val="1"/>
      <w:numFmt w:val="decimal"/>
      <w:lvlText w:val="%5."/>
      <w:lvlJc w:val="left"/>
      <w:pPr>
        <w:tabs>
          <w:tab w:val="num" w:pos="3600"/>
        </w:tabs>
        <w:ind w:left="3600" w:hanging="360"/>
      </w:pPr>
    </w:lvl>
    <w:lvl w:ilvl="5" w:tplc="CFB60694" w:tentative="1">
      <w:start w:val="1"/>
      <w:numFmt w:val="decimal"/>
      <w:lvlText w:val="%6."/>
      <w:lvlJc w:val="left"/>
      <w:pPr>
        <w:tabs>
          <w:tab w:val="num" w:pos="4320"/>
        </w:tabs>
        <w:ind w:left="4320" w:hanging="360"/>
      </w:pPr>
    </w:lvl>
    <w:lvl w:ilvl="6" w:tplc="D042F726" w:tentative="1">
      <w:start w:val="1"/>
      <w:numFmt w:val="decimal"/>
      <w:lvlText w:val="%7."/>
      <w:lvlJc w:val="left"/>
      <w:pPr>
        <w:tabs>
          <w:tab w:val="num" w:pos="5040"/>
        </w:tabs>
        <w:ind w:left="5040" w:hanging="360"/>
      </w:pPr>
    </w:lvl>
    <w:lvl w:ilvl="7" w:tplc="F5CAF10A" w:tentative="1">
      <w:start w:val="1"/>
      <w:numFmt w:val="decimal"/>
      <w:lvlText w:val="%8."/>
      <w:lvlJc w:val="left"/>
      <w:pPr>
        <w:tabs>
          <w:tab w:val="num" w:pos="5760"/>
        </w:tabs>
        <w:ind w:left="5760" w:hanging="360"/>
      </w:pPr>
    </w:lvl>
    <w:lvl w:ilvl="8" w:tplc="A50C2F1A" w:tentative="1">
      <w:start w:val="1"/>
      <w:numFmt w:val="decimal"/>
      <w:lvlText w:val="%9."/>
      <w:lvlJc w:val="left"/>
      <w:pPr>
        <w:tabs>
          <w:tab w:val="num" w:pos="6480"/>
        </w:tabs>
        <w:ind w:left="6480" w:hanging="360"/>
      </w:pPr>
    </w:lvl>
  </w:abstractNum>
  <w:abstractNum w:abstractNumId="24" w15:restartNumberingAfterBreak="0">
    <w:nsid w:val="230372BE"/>
    <w:multiLevelType w:val="hybridMultilevel"/>
    <w:tmpl w:val="606A55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48F4D97"/>
    <w:multiLevelType w:val="multilevel"/>
    <w:tmpl w:val="D866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EF0E2E"/>
    <w:multiLevelType w:val="hybridMultilevel"/>
    <w:tmpl w:val="60A4DDDE"/>
    <w:lvl w:ilvl="0" w:tplc="5E28B1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94090C"/>
    <w:multiLevelType w:val="hybridMultilevel"/>
    <w:tmpl w:val="88CC86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7A4764C"/>
    <w:multiLevelType w:val="hybridMultilevel"/>
    <w:tmpl w:val="0A443F72"/>
    <w:lvl w:ilvl="0" w:tplc="7910D02C">
      <w:start w:val="2"/>
      <w:numFmt w:val="lowerLetter"/>
      <w:lvlText w:val="%1."/>
      <w:lvlJc w:val="left"/>
      <w:pPr>
        <w:tabs>
          <w:tab w:val="num" w:pos="720"/>
        </w:tabs>
        <w:ind w:left="720" w:hanging="360"/>
      </w:pPr>
    </w:lvl>
    <w:lvl w:ilvl="1" w:tplc="A0A2E842" w:tentative="1">
      <w:start w:val="1"/>
      <w:numFmt w:val="decimal"/>
      <w:lvlText w:val="%2."/>
      <w:lvlJc w:val="left"/>
      <w:pPr>
        <w:tabs>
          <w:tab w:val="num" w:pos="1440"/>
        </w:tabs>
        <w:ind w:left="1440" w:hanging="360"/>
      </w:pPr>
    </w:lvl>
    <w:lvl w:ilvl="2" w:tplc="E98671F8" w:tentative="1">
      <w:start w:val="1"/>
      <w:numFmt w:val="decimal"/>
      <w:lvlText w:val="%3."/>
      <w:lvlJc w:val="left"/>
      <w:pPr>
        <w:tabs>
          <w:tab w:val="num" w:pos="2160"/>
        </w:tabs>
        <w:ind w:left="2160" w:hanging="360"/>
      </w:pPr>
    </w:lvl>
    <w:lvl w:ilvl="3" w:tplc="A51EE8AC" w:tentative="1">
      <w:start w:val="1"/>
      <w:numFmt w:val="decimal"/>
      <w:lvlText w:val="%4."/>
      <w:lvlJc w:val="left"/>
      <w:pPr>
        <w:tabs>
          <w:tab w:val="num" w:pos="2880"/>
        </w:tabs>
        <w:ind w:left="2880" w:hanging="360"/>
      </w:pPr>
    </w:lvl>
    <w:lvl w:ilvl="4" w:tplc="B2F02C8C" w:tentative="1">
      <w:start w:val="1"/>
      <w:numFmt w:val="decimal"/>
      <w:lvlText w:val="%5."/>
      <w:lvlJc w:val="left"/>
      <w:pPr>
        <w:tabs>
          <w:tab w:val="num" w:pos="3600"/>
        </w:tabs>
        <w:ind w:left="3600" w:hanging="360"/>
      </w:pPr>
    </w:lvl>
    <w:lvl w:ilvl="5" w:tplc="675EF1B4" w:tentative="1">
      <w:start w:val="1"/>
      <w:numFmt w:val="decimal"/>
      <w:lvlText w:val="%6."/>
      <w:lvlJc w:val="left"/>
      <w:pPr>
        <w:tabs>
          <w:tab w:val="num" w:pos="4320"/>
        </w:tabs>
        <w:ind w:left="4320" w:hanging="360"/>
      </w:pPr>
    </w:lvl>
    <w:lvl w:ilvl="6" w:tplc="39AE4356" w:tentative="1">
      <w:start w:val="1"/>
      <w:numFmt w:val="decimal"/>
      <w:lvlText w:val="%7."/>
      <w:lvlJc w:val="left"/>
      <w:pPr>
        <w:tabs>
          <w:tab w:val="num" w:pos="5040"/>
        </w:tabs>
        <w:ind w:left="5040" w:hanging="360"/>
      </w:pPr>
    </w:lvl>
    <w:lvl w:ilvl="7" w:tplc="8A2C58A8" w:tentative="1">
      <w:start w:val="1"/>
      <w:numFmt w:val="decimal"/>
      <w:lvlText w:val="%8."/>
      <w:lvlJc w:val="left"/>
      <w:pPr>
        <w:tabs>
          <w:tab w:val="num" w:pos="5760"/>
        </w:tabs>
        <w:ind w:left="5760" w:hanging="360"/>
      </w:pPr>
    </w:lvl>
    <w:lvl w:ilvl="8" w:tplc="BAA2702A" w:tentative="1">
      <w:start w:val="1"/>
      <w:numFmt w:val="decimal"/>
      <w:lvlText w:val="%9."/>
      <w:lvlJc w:val="left"/>
      <w:pPr>
        <w:tabs>
          <w:tab w:val="num" w:pos="6480"/>
        </w:tabs>
        <w:ind w:left="6480" w:hanging="360"/>
      </w:pPr>
    </w:lvl>
  </w:abstractNum>
  <w:abstractNum w:abstractNumId="29" w15:restartNumberingAfterBreak="0">
    <w:nsid w:val="27F80DE4"/>
    <w:multiLevelType w:val="multilevel"/>
    <w:tmpl w:val="100E58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8724FA3"/>
    <w:multiLevelType w:val="hybridMultilevel"/>
    <w:tmpl w:val="996660C8"/>
    <w:lvl w:ilvl="0" w:tplc="3552FEE4">
      <w:start w:val="1"/>
      <w:numFmt w:val="upperLetter"/>
      <w:pStyle w:val="Heading3"/>
      <w:lvlText w:val="%1."/>
      <w:lvlJc w:val="left"/>
      <w:pPr>
        <w:ind w:left="81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817C0E"/>
    <w:multiLevelType w:val="multilevel"/>
    <w:tmpl w:val="07A0C2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9C51BC9"/>
    <w:multiLevelType w:val="hybridMultilevel"/>
    <w:tmpl w:val="2A5C7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2CE32999"/>
    <w:multiLevelType w:val="hybridMultilevel"/>
    <w:tmpl w:val="F5CE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3C2364"/>
    <w:multiLevelType w:val="hybridMultilevel"/>
    <w:tmpl w:val="D4EC05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E301937"/>
    <w:multiLevelType w:val="hybridMultilevel"/>
    <w:tmpl w:val="06E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C0630D"/>
    <w:multiLevelType w:val="hybridMultilevel"/>
    <w:tmpl w:val="A4061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0C415FE"/>
    <w:multiLevelType w:val="hybridMultilevel"/>
    <w:tmpl w:val="E10E5A02"/>
    <w:lvl w:ilvl="0" w:tplc="2B361914">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3630F6"/>
    <w:multiLevelType w:val="hybridMultilevel"/>
    <w:tmpl w:val="72B60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2B63AD8"/>
    <w:multiLevelType w:val="hybridMultilevel"/>
    <w:tmpl w:val="3CA8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D87BAA"/>
    <w:multiLevelType w:val="multilevel"/>
    <w:tmpl w:val="F742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140505"/>
    <w:multiLevelType w:val="hybridMultilevel"/>
    <w:tmpl w:val="647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520FF2"/>
    <w:multiLevelType w:val="hybridMultilevel"/>
    <w:tmpl w:val="82708D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AED476B"/>
    <w:multiLevelType w:val="hybridMultilevel"/>
    <w:tmpl w:val="4BA2EB6A"/>
    <w:lvl w:ilvl="0" w:tplc="0409000F">
      <w:start w:val="1"/>
      <w:numFmt w:val="decimal"/>
      <w:lvlText w:val="%1."/>
      <w:lvlJc w:val="left"/>
      <w:pPr>
        <w:ind w:left="4536" w:hanging="360"/>
      </w:pPr>
    </w:lvl>
    <w:lvl w:ilvl="1" w:tplc="04090019" w:tentative="1">
      <w:start w:val="1"/>
      <w:numFmt w:val="lowerLetter"/>
      <w:lvlText w:val="%2."/>
      <w:lvlJc w:val="left"/>
      <w:pPr>
        <w:ind w:left="5256" w:hanging="360"/>
      </w:pPr>
    </w:lvl>
    <w:lvl w:ilvl="2" w:tplc="0409001B" w:tentative="1">
      <w:start w:val="1"/>
      <w:numFmt w:val="lowerRoman"/>
      <w:lvlText w:val="%3."/>
      <w:lvlJc w:val="right"/>
      <w:pPr>
        <w:ind w:left="5976" w:hanging="180"/>
      </w:pPr>
    </w:lvl>
    <w:lvl w:ilvl="3" w:tplc="0409000F" w:tentative="1">
      <w:start w:val="1"/>
      <w:numFmt w:val="decimal"/>
      <w:lvlText w:val="%4."/>
      <w:lvlJc w:val="left"/>
      <w:pPr>
        <w:ind w:left="6696" w:hanging="360"/>
      </w:pPr>
    </w:lvl>
    <w:lvl w:ilvl="4" w:tplc="04090019" w:tentative="1">
      <w:start w:val="1"/>
      <w:numFmt w:val="lowerLetter"/>
      <w:lvlText w:val="%5."/>
      <w:lvlJc w:val="left"/>
      <w:pPr>
        <w:ind w:left="7416" w:hanging="360"/>
      </w:pPr>
    </w:lvl>
    <w:lvl w:ilvl="5" w:tplc="0409001B" w:tentative="1">
      <w:start w:val="1"/>
      <w:numFmt w:val="lowerRoman"/>
      <w:lvlText w:val="%6."/>
      <w:lvlJc w:val="right"/>
      <w:pPr>
        <w:ind w:left="8136" w:hanging="180"/>
      </w:pPr>
    </w:lvl>
    <w:lvl w:ilvl="6" w:tplc="0409000F" w:tentative="1">
      <w:start w:val="1"/>
      <w:numFmt w:val="decimal"/>
      <w:lvlText w:val="%7."/>
      <w:lvlJc w:val="left"/>
      <w:pPr>
        <w:ind w:left="8856" w:hanging="360"/>
      </w:pPr>
    </w:lvl>
    <w:lvl w:ilvl="7" w:tplc="04090019" w:tentative="1">
      <w:start w:val="1"/>
      <w:numFmt w:val="lowerLetter"/>
      <w:lvlText w:val="%8."/>
      <w:lvlJc w:val="left"/>
      <w:pPr>
        <w:ind w:left="9576" w:hanging="360"/>
      </w:pPr>
    </w:lvl>
    <w:lvl w:ilvl="8" w:tplc="0409001B" w:tentative="1">
      <w:start w:val="1"/>
      <w:numFmt w:val="lowerRoman"/>
      <w:lvlText w:val="%9."/>
      <w:lvlJc w:val="right"/>
      <w:pPr>
        <w:ind w:left="10296" w:hanging="180"/>
      </w:pPr>
    </w:lvl>
  </w:abstractNum>
  <w:abstractNum w:abstractNumId="44" w15:restartNumberingAfterBreak="0">
    <w:nsid w:val="3FEC7B95"/>
    <w:multiLevelType w:val="hybridMultilevel"/>
    <w:tmpl w:val="93EE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150E3F"/>
    <w:multiLevelType w:val="hybridMultilevel"/>
    <w:tmpl w:val="57386B2C"/>
    <w:lvl w:ilvl="0" w:tplc="8618B8F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5E05386"/>
    <w:multiLevelType w:val="hybridMultilevel"/>
    <w:tmpl w:val="C046B870"/>
    <w:lvl w:ilvl="0" w:tplc="8B4A2C7A">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E401D3"/>
    <w:multiLevelType w:val="hybridMultilevel"/>
    <w:tmpl w:val="7B224240"/>
    <w:lvl w:ilvl="0" w:tplc="0409000F">
      <w:start w:val="1"/>
      <w:numFmt w:val="decimal"/>
      <w:lvlText w:val="%1."/>
      <w:lvlJc w:val="left"/>
      <w:pPr>
        <w:ind w:left="4692" w:hanging="360"/>
      </w:pPr>
    </w:lvl>
    <w:lvl w:ilvl="1" w:tplc="04090019" w:tentative="1">
      <w:start w:val="1"/>
      <w:numFmt w:val="lowerLetter"/>
      <w:lvlText w:val="%2."/>
      <w:lvlJc w:val="left"/>
      <w:pPr>
        <w:ind w:left="5412" w:hanging="360"/>
      </w:pPr>
    </w:lvl>
    <w:lvl w:ilvl="2" w:tplc="0409001B" w:tentative="1">
      <w:start w:val="1"/>
      <w:numFmt w:val="lowerRoman"/>
      <w:lvlText w:val="%3."/>
      <w:lvlJc w:val="right"/>
      <w:pPr>
        <w:ind w:left="6132" w:hanging="180"/>
      </w:pPr>
    </w:lvl>
    <w:lvl w:ilvl="3" w:tplc="0409000F" w:tentative="1">
      <w:start w:val="1"/>
      <w:numFmt w:val="decimal"/>
      <w:lvlText w:val="%4."/>
      <w:lvlJc w:val="left"/>
      <w:pPr>
        <w:ind w:left="6852" w:hanging="360"/>
      </w:pPr>
    </w:lvl>
    <w:lvl w:ilvl="4" w:tplc="04090019" w:tentative="1">
      <w:start w:val="1"/>
      <w:numFmt w:val="lowerLetter"/>
      <w:lvlText w:val="%5."/>
      <w:lvlJc w:val="left"/>
      <w:pPr>
        <w:ind w:left="7572" w:hanging="360"/>
      </w:pPr>
    </w:lvl>
    <w:lvl w:ilvl="5" w:tplc="0409001B" w:tentative="1">
      <w:start w:val="1"/>
      <w:numFmt w:val="lowerRoman"/>
      <w:lvlText w:val="%6."/>
      <w:lvlJc w:val="right"/>
      <w:pPr>
        <w:ind w:left="8292" w:hanging="180"/>
      </w:pPr>
    </w:lvl>
    <w:lvl w:ilvl="6" w:tplc="0409000F" w:tentative="1">
      <w:start w:val="1"/>
      <w:numFmt w:val="decimal"/>
      <w:lvlText w:val="%7."/>
      <w:lvlJc w:val="left"/>
      <w:pPr>
        <w:ind w:left="9012" w:hanging="360"/>
      </w:pPr>
    </w:lvl>
    <w:lvl w:ilvl="7" w:tplc="04090019" w:tentative="1">
      <w:start w:val="1"/>
      <w:numFmt w:val="lowerLetter"/>
      <w:lvlText w:val="%8."/>
      <w:lvlJc w:val="left"/>
      <w:pPr>
        <w:ind w:left="9732" w:hanging="360"/>
      </w:pPr>
    </w:lvl>
    <w:lvl w:ilvl="8" w:tplc="0409001B" w:tentative="1">
      <w:start w:val="1"/>
      <w:numFmt w:val="lowerRoman"/>
      <w:lvlText w:val="%9."/>
      <w:lvlJc w:val="right"/>
      <w:pPr>
        <w:ind w:left="10452" w:hanging="180"/>
      </w:pPr>
    </w:lvl>
  </w:abstractNum>
  <w:abstractNum w:abstractNumId="48" w15:restartNumberingAfterBreak="0">
    <w:nsid w:val="47E5620A"/>
    <w:multiLevelType w:val="hybridMultilevel"/>
    <w:tmpl w:val="DC02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5907AF"/>
    <w:multiLevelType w:val="hybridMultilevel"/>
    <w:tmpl w:val="6350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C80EF6"/>
    <w:multiLevelType w:val="hybridMultilevel"/>
    <w:tmpl w:val="3334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C85275"/>
    <w:multiLevelType w:val="hybridMultilevel"/>
    <w:tmpl w:val="32DC8B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15:restartNumberingAfterBreak="0">
    <w:nsid w:val="51125364"/>
    <w:multiLevelType w:val="hybridMultilevel"/>
    <w:tmpl w:val="AC7EF8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3DA288E"/>
    <w:multiLevelType w:val="hybridMultilevel"/>
    <w:tmpl w:val="38E64F4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4" w15:restartNumberingAfterBreak="0">
    <w:nsid w:val="54342909"/>
    <w:multiLevelType w:val="hybridMultilevel"/>
    <w:tmpl w:val="E990F674"/>
    <w:lvl w:ilvl="0" w:tplc="CDF6D1FC">
      <w:start w:val="1"/>
      <w:numFmt w:val="upperRoman"/>
      <w:lvlText w:val="%1."/>
      <w:lvlJc w:val="right"/>
      <w:pPr>
        <w:ind w:left="630" w:hanging="360"/>
      </w:pPr>
      <w:rPr>
        <w:i w:val="0"/>
      </w:rPr>
    </w:lvl>
    <w:lvl w:ilvl="1" w:tplc="74D6DA06">
      <w:start w:val="1"/>
      <w:numFmt w:val="upperLetter"/>
      <w:lvlText w:val="%2."/>
      <w:lvlJc w:val="left"/>
      <w:pPr>
        <w:ind w:left="5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A75489"/>
    <w:multiLevelType w:val="hybridMultilevel"/>
    <w:tmpl w:val="6DE8B8C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55642B9A"/>
    <w:multiLevelType w:val="multilevel"/>
    <w:tmpl w:val="B85E8594"/>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1800"/>
        </w:tabs>
        <w:ind w:left="1800" w:hanging="360"/>
      </w:pPr>
      <w:rPr>
        <w:rFonts w:ascii="Courier New" w:hAnsi="Courier New" w:hint="default"/>
        <w:color w:val="auto"/>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7" w15:restartNumberingAfterBreak="0">
    <w:nsid w:val="5677600E"/>
    <w:multiLevelType w:val="hybridMultilevel"/>
    <w:tmpl w:val="9442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7E546BD"/>
    <w:multiLevelType w:val="hybridMultilevel"/>
    <w:tmpl w:val="B728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654181"/>
    <w:multiLevelType w:val="hybridMultilevel"/>
    <w:tmpl w:val="A96AC486"/>
    <w:lvl w:ilvl="0" w:tplc="AE8A53C8">
      <w:start w:val="7"/>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C849A7"/>
    <w:multiLevelType w:val="hybridMultilevel"/>
    <w:tmpl w:val="862A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E64D50"/>
    <w:multiLevelType w:val="hybridMultilevel"/>
    <w:tmpl w:val="64D6DB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C451A75"/>
    <w:multiLevelType w:val="hybridMultilevel"/>
    <w:tmpl w:val="3BA8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7F39E6"/>
    <w:multiLevelType w:val="hybridMultilevel"/>
    <w:tmpl w:val="D98C7438"/>
    <w:lvl w:ilvl="0" w:tplc="86ACEACA">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4" w15:restartNumberingAfterBreak="0">
    <w:nsid w:val="5CAD256D"/>
    <w:multiLevelType w:val="hybridMultilevel"/>
    <w:tmpl w:val="E71A7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CCA08F4"/>
    <w:multiLevelType w:val="hybridMultilevel"/>
    <w:tmpl w:val="C3C28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EEE12D0"/>
    <w:multiLevelType w:val="hybridMultilevel"/>
    <w:tmpl w:val="BA12B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A514BC"/>
    <w:multiLevelType w:val="hybridMultilevel"/>
    <w:tmpl w:val="ED0C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B32939"/>
    <w:multiLevelType w:val="hybridMultilevel"/>
    <w:tmpl w:val="435EB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D94498"/>
    <w:multiLevelType w:val="hybridMultilevel"/>
    <w:tmpl w:val="9C3AC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13C0C58"/>
    <w:multiLevelType w:val="hybridMultilevel"/>
    <w:tmpl w:val="B16E7244"/>
    <w:lvl w:ilvl="0" w:tplc="2C4A717A">
      <w:start w:val="1"/>
      <w:numFmt w:val="upperLetter"/>
      <w:lvlText w:val="%1."/>
      <w:lvlJc w:val="left"/>
      <w:pPr>
        <w:ind w:left="1080" w:hanging="360"/>
      </w:pPr>
      <w:rPr>
        <w:rFonts w:hint="default"/>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1554CEB"/>
    <w:multiLevelType w:val="hybridMultilevel"/>
    <w:tmpl w:val="2DC080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20645D8"/>
    <w:multiLevelType w:val="hybridMultilevel"/>
    <w:tmpl w:val="45EE4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450175F"/>
    <w:multiLevelType w:val="hybridMultilevel"/>
    <w:tmpl w:val="50E262A0"/>
    <w:lvl w:ilvl="0" w:tplc="F2462480">
      <w:start w:val="3"/>
      <w:numFmt w:val="upperLetter"/>
      <w:lvlText w:val="%1."/>
      <w:lvlJc w:val="left"/>
      <w:pPr>
        <w:ind w:left="5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B9234D"/>
    <w:multiLevelType w:val="hybridMultilevel"/>
    <w:tmpl w:val="2546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1D0418"/>
    <w:multiLevelType w:val="multilevel"/>
    <w:tmpl w:val="59D82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86414AD"/>
    <w:multiLevelType w:val="hybridMultilevel"/>
    <w:tmpl w:val="CA3E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8E25AA"/>
    <w:multiLevelType w:val="hybridMultilevel"/>
    <w:tmpl w:val="D03057F4"/>
    <w:lvl w:ilvl="0" w:tplc="6848FF60">
      <w:start w:val="2"/>
      <w:numFmt w:val="upperLetter"/>
      <w:lvlText w:val="%1&gt;"/>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8" w15:restartNumberingAfterBreak="0">
    <w:nsid w:val="6AE50F15"/>
    <w:multiLevelType w:val="hybridMultilevel"/>
    <w:tmpl w:val="83E2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4559AA"/>
    <w:multiLevelType w:val="hybridMultilevel"/>
    <w:tmpl w:val="4F4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CE4602"/>
    <w:multiLevelType w:val="hybridMultilevel"/>
    <w:tmpl w:val="E7FEC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D72040"/>
    <w:multiLevelType w:val="hybridMultilevel"/>
    <w:tmpl w:val="FFEE0E72"/>
    <w:lvl w:ilvl="0" w:tplc="993C206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207B14"/>
    <w:multiLevelType w:val="hybridMultilevel"/>
    <w:tmpl w:val="04F0B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5E3E7B"/>
    <w:multiLevelType w:val="hybridMultilevel"/>
    <w:tmpl w:val="7690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0F95C78"/>
    <w:multiLevelType w:val="hybridMultilevel"/>
    <w:tmpl w:val="0F8E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CB2DA5"/>
    <w:multiLevelType w:val="hybridMultilevel"/>
    <w:tmpl w:val="89E6E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FE1F6B"/>
    <w:multiLevelType w:val="hybridMultilevel"/>
    <w:tmpl w:val="ED5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6980111"/>
    <w:multiLevelType w:val="hybridMultilevel"/>
    <w:tmpl w:val="30F0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6CE1335"/>
    <w:multiLevelType w:val="hybridMultilevel"/>
    <w:tmpl w:val="9B3CC0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76D7120"/>
    <w:multiLevelType w:val="hybridMultilevel"/>
    <w:tmpl w:val="459279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77914B0E"/>
    <w:multiLevelType w:val="hybridMultilevel"/>
    <w:tmpl w:val="398C06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6E3298"/>
    <w:multiLevelType w:val="hybridMultilevel"/>
    <w:tmpl w:val="920A2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B0D638B"/>
    <w:multiLevelType w:val="hybridMultilevel"/>
    <w:tmpl w:val="25AEC93E"/>
    <w:lvl w:ilvl="0" w:tplc="EEA252BC">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303F07"/>
    <w:multiLevelType w:val="multilevel"/>
    <w:tmpl w:val="409068FA"/>
    <w:lvl w:ilvl="0">
      <w:start w:val="1"/>
      <w:numFmt w:val="decimal"/>
      <w:lvlText w:val="%1."/>
      <w:lvlJc w:val="left"/>
      <w:pPr>
        <w:tabs>
          <w:tab w:val="num" w:pos="720"/>
        </w:tabs>
        <w:ind w:left="720" w:hanging="360"/>
      </w:pPr>
    </w:lvl>
    <w:lvl w:ilvl="1">
      <w:start w:val="1"/>
      <w:numFmt w:val="upperLetter"/>
      <w:lvlText w:val="%2."/>
      <w:lvlJc w:val="left"/>
      <w:pPr>
        <w:ind w:left="81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BF07E43"/>
    <w:multiLevelType w:val="hybridMultilevel"/>
    <w:tmpl w:val="4C224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BF7788A"/>
    <w:multiLevelType w:val="multilevel"/>
    <w:tmpl w:val="4BBC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BFD69E4"/>
    <w:multiLevelType w:val="hybridMultilevel"/>
    <w:tmpl w:val="4C4A0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8C4C02"/>
    <w:multiLevelType w:val="hybridMultilevel"/>
    <w:tmpl w:val="A5A6636C"/>
    <w:lvl w:ilvl="0" w:tplc="CF92A2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7E414586"/>
    <w:multiLevelType w:val="hybridMultilevel"/>
    <w:tmpl w:val="C35AD118"/>
    <w:lvl w:ilvl="0" w:tplc="04090015">
      <w:start w:val="1"/>
      <w:numFmt w:val="upperLetter"/>
      <w:lvlText w:val="%1."/>
      <w:lvlJc w:val="left"/>
      <w:pPr>
        <w:ind w:left="4536" w:hanging="360"/>
      </w:pPr>
    </w:lvl>
    <w:lvl w:ilvl="1" w:tplc="04090019" w:tentative="1">
      <w:start w:val="1"/>
      <w:numFmt w:val="lowerLetter"/>
      <w:lvlText w:val="%2."/>
      <w:lvlJc w:val="left"/>
      <w:pPr>
        <w:ind w:left="5256" w:hanging="360"/>
      </w:pPr>
    </w:lvl>
    <w:lvl w:ilvl="2" w:tplc="0409001B" w:tentative="1">
      <w:start w:val="1"/>
      <w:numFmt w:val="lowerRoman"/>
      <w:lvlText w:val="%3."/>
      <w:lvlJc w:val="right"/>
      <w:pPr>
        <w:ind w:left="5976" w:hanging="180"/>
      </w:pPr>
    </w:lvl>
    <w:lvl w:ilvl="3" w:tplc="0409000F" w:tentative="1">
      <w:start w:val="1"/>
      <w:numFmt w:val="decimal"/>
      <w:lvlText w:val="%4."/>
      <w:lvlJc w:val="left"/>
      <w:pPr>
        <w:ind w:left="6696" w:hanging="360"/>
      </w:pPr>
    </w:lvl>
    <w:lvl w:ilvl="4" w:tplc="04090019" w:tentative="1">
      <w:start w:val="1"/>
      <w:numFmt w:val="lowerLetter"/>
      <w:lvlText w:val="%5."/>
      <w:lvlJc w:val="left"/>
      <w:pPr>
        <w:ind w:left="7416" w:hanging="360"/>
      </w:pPr>
    </w:lvl>
    <w:lvl w:ilvl="5" w:tplc="0409001B" w:tentative="1">
      <w:start w:val="1"/>
      <w:numFmt w:val="lowerRoman"/>
      <w:lvlText w:val="%6."/>
      <w:lvlJc w:val="right"/>
      <w:pPr>
        <w:ind w:left="8136" w:hanging="180"/>
      </w:pPr>
    </w:lvl>
    <w:lvl w:ilvl="6" w:tplc="0409000F" w:tentative="1">
      <w:start w:val="1"/>
      <w:numFmt w:val="decimal"/>
      <w:lvlText w:val="%7."/>
      <w:lvlJc w:val="left"/>
      <w:pPr>
        <w:ind w:left="8856" w:hanging="360"/>
      </w:pPr>
    </w:lvl>
    <w:lvl w:ilvl="7" w:tplc="04090019" w:tentative="1">
      <w:start w:val="1"/>
      <w:numFmt w:val="lowerLetter"/>
      <w:lvlText w:val="%8."/>
      <w:lvlJc w:val="left"/>
      <w:pPr>
        <w:ind w:left="9576" w:hanging="360"/>
      </w:pPr>
    </w:lvl>
    <w:lvl w:ilvl="8" w:tplc="0409001B" w:tentative="1">
      <w:start w:val="1"/>
      <w:numFmt w:val="lowerRoman"/>
      <w:lvlText w:val="%9."/>
      <w:lvlJc w:val="right"/>
      <w:pPr>
        <w:ind w:left="10296" w:hanging="180"/>
      </w:pPr>
    </w:lvl>
  </w:abstractNum>
  <w:num w:numId="1">
    <w:abstractNumId w:val="30"/>
  </w:num>
  <w:num w:numId="2">
    <w:abstractNumId w:val="36"/>
  </w:num>
  <w:num w:numId="3">
    <w:abstractNumId w:val="6"/>
  </w:num>
  <w:num w:numId="4">
    <w:abstractNumId w:val="87"/>
  </w:num>
  <w:num w:numId="5">
    <w:abstractNumId w:val="30"/>
    <w:lvlOverride w:ilvl="0">
      <w:startOverride w:val="1"/>
    </w:lvlOverride>
  </w:num>
  <w:num w:numId="6">
    <w:abstractNumId w:val="64"/>
  </w:num>
  <w:num w:numId="7">
    <w:abstractNumId w:val="69"/>
  </w:num>
  <w:num w:numId="8">
    <w:abstractNumId w:val="30"/>
    <w:lvlOverride w:ilvl="0">
      <w:startOverride w:val="1"/>
    </w:lvlOverride>
  </w:num>
  <w:num w:numId="9">
    <w:abstractNumId w:val="94"/>
  </w:num>
  <w:num w:numId="10">
    <w:abstractNumId w:val="0"/>
  </w:num>
  <w:num w:numId="11">
    <w:abstractNumId w:val="32"/>
  </w:num>
  <w:num w:numId="12">
    <w:abstractNumId w:val="30"/>
    <w:lvlOverride w:ilvl="0">
      <w:startOverride w:val="1"/>
    </w:lvlOverride>
  </w:num>
  <w:num w:numId="13">
    <w:abstractNumId w:val="14"/>
  </w:num>
  <w:num w:numId="14">
    <w:abstractNumId w:val="38"/>
  </w:num>
  <w:num w:numId="15">
    <w:abstractNumId w:val="45"/>
  </w:num>
  <w:num w:numId="16">
    <w:abstractNumId w:val="86"/>
  </w:num>
  <w:num w:numId="17">
    <w:abstractNumId w:val="88"/>
  </w:num>
  <w:num w:numId="18">
    <w:abstractNumId w:val="19"/>
  </w:num>
  <w:num w:numId="19">
    <w:abstractNumId w:val="35"/>
  </w:num>
  <w:num w:numId="20">
    <w:abstractNumId w:val="79"/>
  </w:num>
  <w:num w:numId="21">
    <w:abstractNumId w:val="55"/>
  </w:num>
  <w:num w:numId="22">
    <w:abstractNumId w:val="2"/>
  </w:num>
  <w:num w:numId="23">
    <w:abstractNumId w:val="12"/>
  </w:num>
  <w:num w:numId="24">
    <w:abstractNumId w:val="56"/>
  </w:num>
  <w:num w:numId="25">
    <w:abstractNumId w:val="49"/>
  </w:num>
  <w:num w:numId="26">
    <w:abstractNumId w:val="75"/>
  </w:num>
  <w:num w:numId="27">
    <w:abstractNumId w:val="75"/>
  </w:num>
  <w:num w:numId="28">
    <w:abstractNumId w:val="75"/>
  </w:num>
  <w:num w:numId="29">
    <w:abstractNumId w:val="13"/>
  </w:num>
  <w:num w:numId="30">
    <w:abstractNumId w:val="28"/>
  </w:num>
  <w:num w:numId="31">
    <w:abstractNumId w:val="40"/>
  </w:num>
  <w:num w:numId="32">
    <w:abstractNumId w:val="23"/>
  </w:num>
  <w:num w:numId="33">
    <w:abstractNumId w:val="25"/>
  </w:num>
  <w:num w:numId="34">
    <w:abstractNumId w:val="4"/>
  </w:num>
  <w:num w:numId="35">
    <w:abstractNumId w:val="95"/>
  </w:num>
  <w:num w:numId="36">
    <w:abstractNumId w:val="29"/>
    <w:lvlOverride w:ilvl="0">
      <w:lvl w:ilvl="0">
        <w:numFmt w:val="decimal"/>
        <w:lvlText w:val="%1."/>
        <w:lvlJc w:val="left"/>
      </w:lvl>
    </w:lvlOverride>
  </w:num>
  <w:num w:numId="37">
    <w:abstractNumId w:val="29"/>
    <w:lvlOverride w:ilvl="0">
      <w:lvl w:ilvl="0">
        <w:numFmt w:val="decimal"/>
        <w:lvlText w:val="%1."/>
        <w:lvlJc w:val="left"/>
      </w:lvl>
    </w:lvlOverride>
    <w:lvlOverride w:ilvl="1">
      <w:lvl w:ilvl="1">
        <w:numFmt w:val="lowerLetter"/>
        <w:lvlText w:val="%2."/>
        <w:lvlJc w:val="left"/>
      </w:lvl>
    </w:lvlOverride>
  </w:num>
  <w:num w:numId="38">
    <w:abstractNumId w:val="29"/>
    <w:lvlOverride w:ilvl="0">
      <w:lvl w:ilvl="0">
        <w:numFmt w:val="decimal"/>
        <w:lvlText w:val="%1."/>
        <w:lvlJc w:val="left"/>
      </w:lvl>
    </w:lvlOverride>
    <w:lvlOverride w:ilvl="1">
      <w:lvl w:ilvl="1">
        <w:numFmt w:val="lowerLetter"/>
        <w:lvlText w:val="%2."/>
        <w:lvlJc w:val="left"/>
      </w:lvl>
    </w:lvlOverride>
  </w:num>
  <w:num w:numId="39">
    <w:abstractNumId w:val="29"/>
    <w:lvlOverride w:ilvl="0">
      <w:lvl w:ilvl="0">
        <w:numFmt w:val="decimal"/>
        <w:lvlText w:val="%1."/>
        <w:lvlJc w:val="left"/>
      </w:lvl>
    </w:lvlOverride>
    <w:lvlOverride w:ilvl="1">
      <w:lvl w:ilvl="1">
        <w:numFmt w:val="lowerLetter"/>
        <w:lvlText w:val="%2."/>
        <w:lvlJc w:val="left"/>
      </w:lvl>
    </w:lvlOverride>
  </w:num>
  <w:num w:numId="40">
    <w:abstractNumId w:val="29"/>
    <w:lvlOverride w:ilvl="0">
      <w:lvl w:ilvl="0">
        <w:numFmt w:val="decimal"/>
        <w:lvlText w:val="%1."/>
        <w:lvlJc w:val="left"/>
      </w:lvl>
    </w:lvlOverride>
    <w:lvlOverride w:ilvl="1">
      <w:lvl w:ilvl="1">
        <w:numFmt w:val="lowerLetter"/>
        <w:lvlText w:val="%2."/>
        <w:lvlJc w:val="left"/>
      </w:lvl>
    </w:lvlOverride>
  </w:num>
  <w:num w:numId="41">
    <w:abstractNumId w:val="29"/>
    <w:lvlOverride w:ilvl="0">
      <w:lvl w:ilvl="0">
        <w:numFmt w:val="decimal"/>
        <w:lvlText w:val="%1."/>
        <w:lvlJc w:val="left"/>
      </w:lvl>
    </w:lvlOverride>
    <w:lvlOverride w:ilvl="1">
      <w:lvl w:ilvl="1">
        <w:numFmt w:val="lowerLetter"/>
        <w:lvlText w:val="%2."/>
        <w:lvlJc w:val="left"/>
      </w:lvl>
    </w:lvlOverride>
  </w:num>
  <w:num w:numId="42">
    <w:abstractNumId w:val="93"/>
    <w:lvlOverride w:ilvl="0">
      <w:lvl w:ilvl="0">
        <w:numFmt w:val="lowerLetter"/>
        <w:lvlText w:val="%1."/>
        <w:lvlJc w:val="left"/>
      </w:lvl>
    </w:lvlOverride>
  </w:num>
  <w:num w:numId="43">
    <w:abstractNumId w:val="31"/>
  </w:num>
  <w:num w:numId="44">
    <w:abstractNumId w:val="97"/>
  </w:num>
  <w:num w:numId="45">
    <w:abstractNumId w:val="70"/>
  </w:num>
  <w:num w:numId="46">
    <w:abstractNumId w:val="83"/>
  </w:num>
  <w:num w:numId="47">
    <w:abstractNumId w:val="20"/>
  </w:num>
  <w:num w:numId="48">
    <w:abstractNumId w:val="51"/>
  </w:num>
  <w:num w:numId="49">
    <w:abstractNumId w:val="73"/>
  </w:num>
  <w:num w:numId="50">
    <w:abstractNumId w:val="89"/>
  </w:num>
  <w:num w:numId="51">
    <w:abstractNumId w:val="54"/>
  </w:num>
  <w:num w:numId="52">
    <w:abstractNumId w:val="26"/>
  </w:num>
  <w:num w:numId="53">
    <w:abstractNumId w:val="15"/>
  </w:num>
  <w:num w:numId="54">
    <w:abstractNumId w:val="18"/>
  </w:num>
  <w:num w:numId="55">
    <w:abstractNumId w:val="53"/>
  </w:num>
  <w:num w:numId="56">
    <w:abstractNumId w:val="63"/>
  </w:num>
  <w:num w:numId="57">
    <w:abstractNumId w:val="59"/>
  </w:num>
  <w:num w:numId="58">
    <w:abstractNumId w:val="77"/>
  </w:num>
  <w:num w:numId="59">
    <w:abstractNumId w:val="46"/>
  </w:num>
  <w:num w:numId="60">
    <w:abstractNumId w:val="34"/>
  </w:num>
  <w:num w:numId="61">
    <w:abstractNumId w:val="30"/>
  </w:num>
  <w:num w:numId="62">
    <w:abstractNumId w:val="30"/>
  </w:num>
  <w:num w:numId="63">
    <w:abstractNumId w:val="24"/>
  </w:num>
  <w:num w:numId="64">
    <w:abstractNumId w:val="27"/>
  </w:num>
  <w:num w:numId="65">
    <w:abstractNumId w:val="5"/>
  </w:num>
  <w:num w:numId="66">
    <w:abstractNumId w:val="78"/>
  </w:num>
  <w:num w:numId="67">
    <w:abstractNumId w:val="68"/>
  </w:num>
  <w:num w:numId="68">
    <w:abstractNumId w:val="37"/>
  </w:num>
  <w:num w:numId="69">
    <w:abstractNumId w:val="57"/>
  </w:num>
  <w:num w:numId="70">
    <w:abstractNumId w:val="81"/>
  </w:num>
  <w:num w:numId="71">
    <w:abstractNumId w:val="76"/>
  </w:num>
  <w:num w:numId="72">
    <w:abstractNumId w:val="47"/>
  </w:num>
  <w:num w:numId="73">
    <w:abstractNumId w:val="16"/>
  </w:num>
  <w:num w:numId="74">
    <w:abstractNumId w:val="44"/>
  </w:num>
  <w:num w:numId="75">
    <w:abstractNumId w:val="80"/>
  </w:num>
  <w:num w:numId="76">
    <w:abstractNumId w:val="3"/>
  </w:num>
  <w:num w:numId="77">
    <w:abstractNumId w:val="52"/>
  </w:num>
  <w:num w:numId="78">
    <w:abstractNumId w:val="62"/>
  </w:num>
  <w:num w:numId="79">
    <w:abstractNumId w:val="98"/>
  </w:num>
  <w:num w:numId="80">
    <w:abstractNumId w:val="43"/>
  </w:num>
  <w:num w:numId="81">
    <w:abstractNumId w:val="1"/>
  </w:num>
  <w:num w:numId="82">
    <w:abstractNumId w:val="60"/>
  </w:num>
  <w:num w:numId="83">
    <w:abstractNumId w:val="22"/>
  </w:num>
  <w:num w:numId="84">
    <w:abstractNumId w:val="50"/>
  </w:num>
  <w:num w:numId="85">
    <w:abstractNumId w:val="21"/>
  </w:num>
  <w:num w:numId="86">
    <w:abstractNumId w:val="58"/>
  </w:num>
  <w:num w:numId="87">
    <w:abstractNumId w:val="67"/>
  </w:num>
  <w:num w:numId="88">
    <w:abstractNumId w:val="39"/>
  </w:num>
  <w:num w:numId="89">
    <w:abstractNumId w:val="74"/>
  </w:num>
  <w:num w:numId="90">
    <w:abstractNumId w:val="17"/>
  </w:num>
  <w:num w:numId="91">
    <w:abstractNumId w:val="10"/>
  </w:num>
  <w:num w:numId="92">
    <w:abstractNumId w:val="91"/>
  </w:num>
  <w:num w:numId="93">
    <w:abstractNumId w:val="48"/>
  </w:num>
  <w:num w:numId="94">
    <w:abstractNumId w:val="65"/>
  </w:num>
  <w:num w:numId="95">
    <w:abstractNumId w:val="90"/>
  </w:num>
  <w:num w:numId="96">
    <w:abstractNumId w:val="11"/>
  </w:num>
  <w:num w:numId="97">
    <w:abstractNumId w:val="9"/>
  </w:num>
  <w:num w:numId="98">
    <w:abstractNumId w:val="92"/>
  </w:num>
  <w:num w:numId="99">
    <w:abstractNumId w:val="33"/>
  </w:num>
  <w:num w:numId="100">
    <w:abstractNumId w:val="7"/>
  </w:num>
  <w:num w:numId="101">
    <w:abstractNumId w:val="96"/>
  </w:num>
  <w:num w:numId="102">
    <w:abstractNumId w:val="72"/>
  </w:num>
  <w:num w:numId="103">
    <w:abstractNumId w:val="61"/>
  </w:num>
  <w:num w:numId="104">
    <w:abstractNumId w:val="71"/>
  </w:num>
  <w:num w:numId="105">
    <w:abstractNumId w:val="66"/>
  </w:num>
  <w:num w:numId="106">
    <w:abstractNumId w:val="85"/>
  </w:num>
  <w:num w:numId="107">
    <w:abstractNumId w:val="82"/>
  </w:num>
  <w:num w:numId="108">
    <w:abstractNumId w:val="41"/>
  </w:num>
  <w:num w:numId="109">
    <w:abstractNumId w:val="42"/>
  </w:num>
  <w:num w:numId="110">
    <w:abstractNumId w:val="84"/>
  </w:num>
  <w:num w:numId="111">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1"/>
    <w:rsid w:val="0000045D"/>
    <w:rsid w:val="0000233D"/>
    <w:rsid w:val="00003C3B"/>
    <w:rsid w:val="000042C7"/>
    <w:rsid w:val="0000587C"/>
    <w:rsid w:val="00005CB3"/>
    <w:rsid w:val="000110A7"/>
    <w:rsid w:val="00011CE5"/>
    <w:rsid w:val="00011DC5"/>
    <w:rsid w:val="0001208C"/>
    <w:rsid w:val="000134AA"/>
    <w:rsid w:val="00013C35"/>
    <w:rsid w:val="00014E12"/>
    <w:rsid w:val="000162D0"/>
    <w:rsid w:val="000200CF"/>
    <w:rsid w:val="00020A9F"/>
    <w:rsid w:val="00020D22"/>
    <w:rsid w:val="0002114F"/>
    <w:rsid w:val="0002161B"/>
    <w:rsid w:val="00024D0E"/>
    <w:rsid w:val="00025B29"/>
    <w:rsid w:val="00025EA4"/>
    <w:rsid w:val="00025F31"/>
    <w:rsid w:val="000278A3"/>
    <w:rsid w:val="0003040F"/>
    <w:rsid w:val="00031F42"/>
    <w:rsid w:val="00032E4D"/>
    <w:rsid w:val="000371E3"/>
    <w:rsid w:val="000374C4"/>
    <w:rsid w:val="0004404A"/>
    <w:rsid w:val="00044DD0"/>
    <w:rsid w:val="00046801"/>
    <w:rsid w:val="0004785D"/>
    <w:rsid w:val="00050C24"/>
    <w:rsid w:val="00052B3E"/>
    <w:rsid w:val="000534B2"/>
    <w:rsid w:val="00053E28"/>
    <w:rsid w:val="00055B8E"/>
    <w:rsid w:val="00056375"/>
    <w:rsid w:val="00056CF4"/>
    <w:rsid w:val="00057EE0"/>
    <w:rsid w:val="00061B9A"/>
    <w:rsid w:val="00063988"/>
    <w:rsid w:val="00064036"/>
    <w:rsid w:val="00064208"/>
    <w:rsid w:val="00066D13"/>
    <w:rsid w:val="0006731E"/>
    <w:rsid w:val="000703EF"/>
    <w:rsid w:val="00072A96"/>
    <w:rsid w:val="000739E9"/>
    <w:rsid w:val="00074070"/>
    <w:rsid w:val="00075C86"/>
    <w:rsid w:val="0007720F"/>
    <w:rsid w:val="00077C65"/>
    <w:rsid w:val="00080296"/>
    <w:rsid w:val="000828F7"/>
    <w:rsid w:val="0008426A"/>
    <w:rsid w:val="00084B3A"/>
    <w:rsid w:val="00087763"/>
    <w:rsid w:val="00087B93"/>
    <w:rsid w:val="000901F3"/>
    <w:rsid w:val="000905CD"/>
    <w:rsid w:val="00090759"/>
    <w:rsid w:val="00090B91"/>
    <w:rsid w:val="00090C08"/>
    <w:rsid w:val="00091809"/>
    <w:rsid w:val="00091FCF"/>
    <w:rsid w:val="0009213F"/>
    <w:rsid w:val="000929E5"/>
    <w:rsid w:val="000959C9"/>
    <w:rsid w:val="00097062"/>
    <w:rsid w:val="00097CA1"/>
    <w:rsid w:val="00097D48"/>
    <w:rsid w:val="000A05FD"/>
    <w:rsid w:val="000A0773"/>
    <w:rsid w:val="000A0878"/>
    <w:rsid w:val="000A1F24"/>
    <w:rsid w:val="000A2E79"/>
    <w:rsid w:val="000A3CD1"/>
    <w:rsid w:val="000A4EE9"/>
    <w:rsid w:val="000A5498"/>
    <w:rsid w:val="000A61BD"/>
    <w:rsid w:val="000B0A66"/>
    <w:rsid w:val="000B0ACF"/>
    <w:rsid w:val="000B1F7A"/>
    <w:rsid w:val="000B69B1"/>
    <w:rsid w:val="000B72CE"/>
    <w:rsid w:val="000B7313"/>
    <w:rsid w:val="000C04E9"/>
    <w:rsid w:val="000C13BC"/>
    <w:rsid w:val="000C275E"/>
    <w:rsid w:val="000C3722"/>
    <w:rsid w:val="000C4B17"/>
    <w:rsid w:val="000C5DAE"/>
    <w:rsid w:val="000C6100"/>
    <w:rsid w:val="000C7C4D"/>
    <w:rsid w:val="000D08C0"/>
    <w:rsid w:val="000D0B78"/>
    <w:rsid w:val="000D2139"/>
    <w:rsid w:val="000D4ECB"/>
    <w:rsid w:val="000D5D76"/>
    <w:rsid w:val="000D75A6"/>
    <w:rsid w:val="000D7E5C"/>
    <w:rsid w:val="000E0AEE"/>
    <w:rsid w:val="000E41B3"/>
    <w:rsid w:val="000E6267"/>
    <w:rsid w:val="000E6549"/>
    <w:rsid w:val="000F0350"/>
    <w:rsid w:val="000F1719"/>
    <w:rsid w:val="000F3230"/>
    <w:rsid w:val="000F34E6"/>
    <w:rsid w:val="000F3A98"/>
    <w:rsid w:val="000F41CD"/>
    <w:rsid w:val="000F4C89"/>
    <w:rsid w:val="000F573A"/>
    <w:rsid w:val="00100076"/>
    <w:rsid w:val="0010033D"/>
    <w:rsid w:val="001008C2"/>
    <w:rsid w:val="0010130B"/>
    <w:rsid w:val="00102795"/>
    <w:rsid w:val="00102D0B"/>
    <w:rsid w:val="00102E40"/>
    <w:rsid w:val="00103459"/>
    <w:rsid w:val="00103BF1"/>
    <w:rsid w:val="001041A6"/>
    <w:rsid w:val="00105BF9"/>
    <w:rsid w:val="00107BB4"/>
    <w:rsid w:val="0011073C"/>
    <w:rsid w:val="00111DA1"/>
    <w:rsid w:val="001131DA"/>
    <w:rsid w:val="00113F48"/>
    <w:rsid w:val="001144F6"/>
    <w:rsid w:val="00114DAA"/>
    <w:rsid w:val="00114E8C"/>
    <w:rsid w:val="00115796"/>
    <w:rsid w:val="00116F54"/>
    <w:rsid w:val="001179FB"/>
    <w:rsid w:val="00120A0F"/>
    <w:rsid w:val="001214CD"/>
    <w:rsid w:val="00121FCD"/>
    <w:rsid w:val="00123445"/>
    <w:rsid w:val="00124611"/>
    <w:rsid w:val="001248C8"/>
    <w:rsid w:val="00124B1A"/>
    <w:rsid w:val="001329A0"/>
    <w:rsid w:val="00133C83"/>
    <w:rsid w:val="001348CF"/>
    <w:rsid w:val="0013518A"/>
    <w:rsid w:val="00135638"/>
    <w:rsid w:val="001362E3"/>
    <w:rsid w:val="00137CF3"/>
    <w:rsid w:val="001406BA"/>
    <w:rsid w:val="00141065"/>
    <w:rsid w:val="00141679"/>
    <w:rsid w:val="00141733"/>
    <w:rsid w:val="00141A56"/>
    <w:rsid w:val="00141C54"/>
    <w:rsid w:val="00143614"/>
    <w:rsid w:val="001440BC"/>
    <w:rsid w:val="0014593E"/>
    <w:rsid w:val="00145BFE"/>
    <w:rsid w:val="0014679F"/>
    <w:rsid w:val="00147ABB"/>
    <w:rsid w:val="00151683"/>
    <w:rsid w:val="00152E86"/>
    <w:rsid w:val="00153FA6"/>
    <w:rsid w:val="001571E9"/>
    <w:rsid w:val="0016019C"/>
    <w:rsid w:val="00161782"/>
    <w:rsid w:val="00162190"/>
    <w:rsid w:val="00165A86"/>
    <w:rsid w:val="00165C8F"/>
    <w:rsid w:val="00166A69"/>
    <w:rsid w:val="00170F24"/>
    <w:rsid w:val="00171B73"/>
    <w:rsid w:val="00172F3D"/>
    <w:rsid w:val="001750F2"/>
    <w:rsid w:val="00175148"/>
    <w:rsid w:val="00175A6C"/>
    <w:rsid w:val="00175C9A"/>
    <w:rsid w:val="001771C3"/>
    <w:rsid w:val="001808B2"/>
    <w:rsid w:val="001827C7"/>
    <w:rsid w:val="00182A72"/>
    <w:rsid w:val="00182E1F"/>
    <w:rsid w:val="00184A0E"/>
    <w:rsid w:val="0018524B"/>
    <w:rsid w:val="00187150"/>
    <w:rsid w:val="00190FAD"/>
    <w:rsid w:val="00192176"/>
    <w:rsid w:val="00192EB3"/>
    <w:rsid w:val="00193FAD"/>
    <w:rsid w:val="001943D1"/>
    <w:rsid w:val="001A0CA5"/>
    <w:rsid w:val="001A1D44"/>
    <w:rsid w:val="001A4B53"/>
    <w:rsid w:val="001A54D3"/>
    <w:rsid w:val="001A60AD"/>
    <w:rsid w:val="001B00E7"/>
    <w:rsid w:val="001B0146"/>
    <w:rsid w:val="001B0A8C"/>
    <w:rsid w:val="001B254E"/>
    <w:rsid w:val="001C18AD"/>
    <w:rsid w:val="001C1F70"/>
    <w:rsid w:val="001C5441"/>
    <w:rsid w:val="001D3314"/>
    <w:rsid w:val="001D33A3"/>
    <w:rsid w:val="001D51AB"/>
    <w:rsid w:val="001D5872"/>
    <w:rsid w:val="001E2ED3"/>
    <w:rsid w:val="001E3436"/>
    <w:rsid w:val="001E425A"/>
    <w:rsid w:val="001E693E"/>
    <w:rsid w:val="001E7274"/>
    <w:rsid w:val="001F11B3"/>
    <w:rsid w:val="001F11BF"/>
    <w:rsid w:val="001F225A"/>
    <w:rsid w:val="001F269A"/>
    <w:rsid w:val="001F42BB"/>
    <w:rsid w:val="001F4B3E"/>
    <w:rsid w:val="001F7341"/>
    <w:rsid w:val="001F7792"/>
    <w:rsid w:val="002001DE"/>
    <w:rsid w:val="002007A9"/>
    <w:rsid w:val="00200A9D"/>
    <w:rsid w:val="00200DF7"/>
    <w:rsid w:val="00201380"/>
    <w:rsid w:val="002039EA"/>
    <w:rsid w:val="00204688"/>
    <w:rsid w:val="0020677D"/>
    <w:rsid w:val="00206CAB"/>
    <w:rsid w:val="00207DC3"/>
    <w:rsid w:val="00207F09"/>
    <w:rsid w:val="002109F9"/>
    <w:rsid w:val="00211B53"/>
    <w:rsid w:val="0021234A"/>
    <w:rsid w:val="0021242A"/>
    <w:rsid w:val="00215069"/>
    <w:rsid w:val="00215A50"/>
    <w:rsid w:val="00216C17"/>
    <w:rsid w:val="00216D7E"/>
    <w:rsid w:val="002178E1"/>
    <w:rsid w:val="0022191B"/>
    <w:rsid w:val="002224EB"/>
    <w:rsid w:val="002231C6"/>
    <w:rsid w:val="00223D6A"/>
    <w:rsid w:val="00224B13"/>
    <w:rsid w:val="00225055"/>
    <w:rsid w:val="002261CE"/>
    <w:rsid w:val="00226248"/>
    <w:rsid w:val="002309D1"/>
    <w:rsid w:val="00230B5C"/>
    <w:rsid w:val="00231E4C"/>
    <w:rsid w:val="002326E5"/>
    <w:rsid w:val="0023409D"/>
    <w:rsid w:val="0023414C"/>
    <w:rsid w:val="002352AD"/>
    <w:rsid w:val="002353EE"/>
    <w:rsid w:val="00235C67"/>
    <w:rsid w:val="0024067C"/>
    <w:rsid w:val="00241551"/>
    <w:rsid w:val="0024466E"/>
    <w:rsid w:val="00244FD0"/>
    <w:rsid w:val="0024569E"/>
    <w:rsid w:val="00247DC3"/>
    <w:rsid w:val="00247F8F"/>
    <w:rsid w:val="002503B9"/>
    <w:rsid w:val="00252440"/>
    <w:rsid w:val="0025375F"/>
    <w:rsid w:val="002538D2"/>
    <w:rsid w:val="002541C0"/>
    <w:rsid w:val="00254B34"/>
    <w:rsid w:val="00255B37"/>
    <w:rsid w:val="00255D90"/>
    <w:rsid w:val="00256BCB"/>
    <w:rsid w:val="00257459"/>
    <w:rsid w:val="00257C13"/>
    <w:rsid w:val="00262E02"/>
    <w:rsid w:val="00263768"/>
    <w:rsid w:val="00264CB0"/>
    <w:rsid w:val="002704CA"/>
    <w:rsid w:val="0027076A"/>
    <w:rsid w:val="002732C7"/>
    <w:rsid w:val="00274E42"/>
    <w:rsid w:val="002750AA"/>
    <w:rsid w:val="00276F7C"/>
    <w:rsid w:val="00277D16"/>
    <w:rsid w:val="002800D1"/>
    <w:rsid w:val="00281263"/>
    <w:rsid w:val="00282A84"/>
    <w:rsid w:val="00284056"/>
    <w:rsid w:val="0028477A"/>
    <w:rsid w:val="0028494C"/>
    <w:rsid w:val="00284F65"/>
    <w:rsid w:val="00285D9E"/>
    <w:rsid w:val="00287011"/>
    <w:rsid w:val="002871F4"/>
    <w:rsid w:val="002872CC"/>
    <w:rsid w:val="00290232"/>
    <w:rsid w:val="00294358"/>
    <w:rsid w:val="00294AA4"/>
    <w:rsid w:val="00295995"/>
    <w:rsid w:val="002966E9"/>
    <w:rsid w:val="002A2220"/>
    <w:rsid w:val="002A2452"/>
    <w:rsid w:val="002A3023"/>
    <w:rsid w:val="002A4279"/>
    <w:rsid w:val="002A6A37"/>
    <w:rsid w:val="002A73C3"/>
    <w:rsid w:val="002B0AD3"/>
    <w:rsid w:val="002B2FDB"/>
    <w:rsid w:val="002B4840"/>
    <w:rsid w:val="002B4FA8"/>
    <w:rsid w:val="002B54AF"/>
    <w:rsid w:val="002B5EB5"/>
    <w:rsid w:val="002B6CA2"/>
    <w:rsid w:val="002B704E"/>
    <w:rsid w:val="002C1148"/>
    <w:rsid w:val="002C17EC"/>
    <w:rsid w:val="002C2316"/>
    <w:rsid w:val="002C241D"/>
    <w:rsid w:val="002C37B0"/>
    <w:rsid w:val="002C4335"/>
    <w:rsid w:val="002C69E7"/>
    <w:rsid w:val="002C745F"/>
    <w:rsid w:val="002C7524"/>
    <w:rsid w:val="002D1708"/>
    <w:rsid w:val="002D476A"/>
    <w:rsid w:val="002D516C"/>
    <w:rsid w:val="002D5C40"/>
    <w:rsid w:val="002E126B"/>
    <w:rsid w:val="002E3175"/>
    <w:rsid w:val="002E35AB"/>
    <w:rsid w:val="002E3E3E"/>
    <w:rsid w:val="002E4633"/>
    <w:rsid w:val="002E4CB5"/>
    <w:rsid w:val="002E53A9"/>
    <w:rsid w:val="002E5A5F"/>
    <w:rsid w:val="002E6544"/>
    <w:rsid w:val="002E7D52"/>
    <w:rsid w:val="002F10C0"/>
    <w:rsid w:val="002F5067"/>
    <w:rsid w:val="002F7BFD"/>
    <w:rsid w:val="00301474"/>
    <w:rsid w:val="00301B92"/>
    <w:rsid w:val="00302C64"/>
    <w:rsid w:val="00304209"/>
    <w:rsid w:val="00306EB2"/>
    <w:rsid w:val="00307613"/>
    <w:rsid w:val="00310E0E"/>
    <w:rsid w:val="003113E2"/>
    <w:rsid w:val="003136FE"/>
    <w:rsid w:val="00314780"/>
    <w:rsid w:val="003147A4"/>
    <w:rsid w:val="00315B68"/>
    <w:rsid w:val="00316626"/>
    <w:rsid w:val="003176D0"/>
    <w:rsid w:val="003208A4"/>
    <w:rsid w:val="003209E6"/>
    <w:rsid w:val="0032111D"/>
    <w:rsid w:val="0032120C"/>
    <w:rsid w:val="00321A78"/>
    <w:rsid w:val="003232FE"/>
    <w:rsid w:val="003250A7"/>
    <w:rsid w:val="003278FE"/>
    <w:rsid w:val="003306A2"/>
    <w:rsid w:val="0033235F"/>
    <w:rsid w:val="00332D6A"/>
    <w:rsid w:val="00332F98"/>
    <w:rsid w:val="00336AE8"/>
    <w:rsid w:val="00337A3E"/>
    <w:rsid w:val="00340967"/>
    <w:rsid w:val="00340B7E"/>
    <w:rsid w:val="00341428"/>
    <w:rsid w:val="0034276F"/>
    <w:rsid w:val="00342AFF"/>
    <w:rsid w:val="00342D40"/>
    <w:rsid w:val="003436F3"/>
    <w:rsid w:val="00343FE0"/>
    <w:rsid w:val="00344C52"/>
    <w:rsid w:val="0034576C"/>
    <w:rsid w:val="00345A85"/>
    <w:rsid w:val="00345AB3"/>
    <w:rsid w:val="0035050A"/>
    <w:rsid w:val="00350A39"/>
    <w:rsid w:val="00350BAB"/>
    <w:rsid w:val="00350FCA"/>
    <w:rsid w:val="00352873"/>
    <w:rsid w:val="003534CD"/>
    <w:rsid w:val="00353C59"/>
    <w:rsid w:val="003541CD"/>
    <w:rsid w:val="003553FF"/>
    <w:rsid w:val="00356FF4"/>
    <w:rsid w:val="003607F5"/>
    <w:rsid w:val="00361A9A"/>
    <w:rsid w:val="00363881"/>
    <w:rsid w:val="0036524B"/>
    <w:rsid w:val="00366FA0"/>
    <w:rsid w:val="00367F94"/>
    <w:rsid w:val="00370A2E"/>
    <w:rsid w:val="003727C6"/>
    <w:rsid w:val="00374AC1"/>
    <w:rsid w:val="00374FC2"/>
    <w:rsid w:val="00375428"/>
    <w:rsid w:val="00377FA6"/>
    <w:rsid w:val="0038112A"/>
    <w:rsid w:val="00381AE3"/>
    <w:rsid w:val="00381E23"/>
    <w:rsid w:val="00384976"/>
    <w:rsid w:val="00385FFE"/>
    <w:rsid w:val="0038643D"/>
    <w:rsid w:val="003866EE"/>
    <w:rsid w:val="00393038"/>
    <w:rsid w:val="00397B1F"/>
    <w:rsid w:val="00397C6C"/>
    <w:rsid w:val="003A20BC"/>
    <w:rsid w:val="003A2DE1"/>
    <w:rsid w:val="003A3198"/>
    <w:rsid w:val="003A3D31"/>
    <w:rsid w:val="003A529D"/>
    <w:rsid w:val="003A650B"/>
    <w:rsid w:val="003A65F0"/>
    <w:rsid w:val="003A66A6"/>
    <w:rsid w:val="003B0429"/>
    <w:rsid w:val="003B102C"/>
    <w:rsid w:val="003B1DA5"/>
    <w:rsid w:val="003B209D"/>
    <w:rsid w:val="003B2D1F"/>
    <w:rsid w:val="003B38DF"/>
    <w:rsid w:val="003B4D7F"/>
    <w:rsid w:val="003B5073"/>
    <w:rsid w:val="003B509D"/>
    <w:rsid w:val="003B5956"/>
    <w:rsid w:val="003B7076"/>
    <w:rsid w:val="003C1057"/>
    <w:rsid w:val="003C3AC0"/>
    <w:rsid w:val="003C73D9"/>
    <w:rsid w:val="003C7E0C"/>
    <w:rsid w:val="003C7EA5"/>
    <w:rsid w:val="003D0CD8"/>
    <w:rsid w:val="003D4384"/>
    <w:rsid w:val="003D59AC"/>
    <w:rsid w:val="003E139F"/>
    <w:rsid w:val="003E14DF"/>
    <w:rsid w:val="003E15BE"/>
    <w:rsid w:val="003E1FC5"/>
    <w:rsid w:val="003E275C"/>
    <w:rsid w:val="003E27B0"/>
    <w:rsid w:val="003E2DB0"/>
    <w:rsid w:val="003E3996"/>
    <w:rsid w:val="003E39DA"/>
    <w:rsid w:val="003E3D89"/>
    <w:rsid w:val="003E42D1"/>
    <w:rsid w:val="003E4C3A"/>
    <w:rsid w:val="003E5608"/>
    <w:rsid w:val="003E7A3D"/>
    <w:rsid w:val="003F100E"/>
    <w:rsid w:val="003F23FC"/>
    <w:rsid w:val="003F4569"/>
    <w:rsid w:val="003F529F"/>
    <w:rsid w:val="00400D49"/>
    <w:rsid w:val="00401899"/>
    <w:rsid w:val="0040205C"/>
    <w:rsid w:val="0040417D"/>
    <w:rsid w:val="004052A2"/>
    <w:rsid w:val="004065BF"/>
    <w:rsid w:val="004072A7"/>
    <w:rsid w:val="00407FD5"/>
    <w:rsid w:val="004111E2"/>
    <w:rsid w:val="00412E9D"/>
    <w:rsid w:val="00413BCA"/>
    <w:rsid w:val="00414ED2"/>
    <w:rsid w:val="00416695"/>
    <w:rsid w:val="0042080E"/>
    <w:rsid w:val="0042117B"/>
    <w:rsid w:val="00422C1D"/>
    <w:rsid w:val="00423E14"/>
    <w:rsid w:val="004246E8"/>
    <w:rsid w:val="00424E81"/>
    <w:rsid w:val="00425301"/>
    <w:rsid w:val="00425714"/>
    <w:rsid w:val="0042607A"/>
    <w:rsid w:val="0042621D"/>
    <w:rsid w:val="00426C0B"/>
    <w:rsid w:val="0043027F"/>
    <w:rsid w:val="004338A1"/>
    <w:rsid w:val="00433B02"/>
    <w:rsid w:val="004348CF"/>
    <w:rsid w:val="00435878"/>
    <w:rsid w:val="00436149"/>
    <w:rsid w:val="00437DC8"/>
    <w:rsid w:val="00437FA2"/>
    <w:rsid w:val="00444023"/>
    <w:rsid w:val="00444169"/>
    <w:rsid w:val="004470EC"/>
    <w:rsid w:val="00447257"/>
    <w:rsid w:val="00447D2E"/>
    <w:rsid w:val="0045147F"/>
    <w:rsid w:val="00451FDB"/>
    <w:rsid w:val="00452BCA"/>
    <w:rsid w:val="00453B75"/>
    <w:rsid w:val="00453C2E"/>
    <w:rsid w:val="00453E4E"/>
    <w:rsid w:val="00454036"/>
    <w:rsid w:val="0045441B"/>
    <w:rsid w:val="00454D59"/>
    <w:rsid w:val="0046015A"/>
    <w:rsid w:val="00460CFA"/>
    <w:rsid w:val="004615C2"/>
    <w:rsid w:val="00461ECC"/>
    <w:rsid w:val="004644CE"/>
    <w:rsid w:val="00465582"/>
    <w:rsid w:val="00465B2A"/>
    <w:rsid w:val="0046604F"/>
    <w:rsid w:val="0046622A"/>
    <w:rsid w:val="00466FF9"/>
    <w:rsid w:val="004673B4"/>
    <w:rsid w:val="00467B50"/>
    <w:rsid w:val="00471229"/>
    <w:rsid w:val="00472D19"/>
    <w:rsid w:val="00472EAA"/>
    <w:rsid w:val="00473C30"/>
    <w:rsid w:val="00474250"/>
    <w:rsid w:val="00476013"/>
    <w:rsid w:val="004769D6"/>
    <w:rsid w:val="004800E2"/>
    <w:rsid w:val="00480BF7"/>
    <w:rsid w:val="0048139F"/>
    <w:rsid w:val="004826CC"/>
    <w:rsid w:val="004830EA"/>
    <w:rsid w:val="00487DFA"/>
    <w:rsid w:val="004913F6"/>
    <w:rsid w:val="00491625"/>
    <w:rsid w:val="004925D2"/>
    <w:rsid w:val="00493023"/>
    <w:rsid w:val="00493350"/>
    <w:rsid w:val="00494433"/>
    <w:rsid w:val="00495B5F"/>
    <w:rsid w:val="00496296"/>
    <w:rsid w:val="004A112C"/>
    <w:rsid w:val="004A6034"/>
    <w:rsid w:val="004A61FF"/>
    <w:rsid w:val="004A6A8E"/>
    <w:rsid w:val="004A6C62"/>
    <w:rsid w:val="004A70BA"/>
    <w:rsid w:val="004A7B29"/>
    <w:rsid w:val="004B0DE3"/>
    <w:rsid w:val="004B626D"/>
    <w:rsid w:val="004B6B11"/>
    <w:rsid w:val="004C0980"/>
    <w:rsid w:val="004C4B3B"/>
    <w:rsid w:val="004C5ABE"/>
    <w:rsid w:val="004C6CCD"/>
    <w:rsid w:val="004C7312"/>
    <w:rsid w:val="004C77BA"/>
    <w:rsid w:val="004D0870"/>
    <w:rsid w:val="004D0B92"/>
    <w:rsid w:val="004D1054"/>
    <w:rsid w:val="004D1375"/>
    <w:rsid w:val="004D13E1"/>
    <w:rsid w:val="004D17A8"/>
    <w:rsid w:val="004D1DD6"/>
    <w:rsid w:val="004D23A4"/>
    <w:rsid w:val="004D374D"/>
    <w:rsid w:val="004D3C47"/>
    <w:rsid w:val="004D3D74"/>
    <w:rsid w:val="004D3DDA"/>
    <w:rsid w:val="004D5328"/>
    <w:rsid w:val="004E30C8"/>
    <w:rsid w:val="004E3A82"/>
    <w:rsid w:val="004E3F55"/>
    <w:rsid w:val="004E56D0"/>
    <w:rsid w:val="004E64C5"/>
    <w:rsid w:val="004E74AC"/>
    <w:rsid w:val="004F4306"/>
    <w:rsid w:val="004F541D"/>
    <w:rsid w:val="004F6308"/>
    <w:rsid w:val="004F6D97"/>
    <w:rsid w:val="00500079"/>
    <w:rsid w:val="0050135B"/>
    <w:rsid w:val="005039E8"/>
    <w:rsid w:val="00503AA7"/>
    <w:rsid w:val="00504040"/>
    <w:rsid w:val="00504960"/>
    <w:rsid w:val="005062E2"/>
    <w:rsid w:val="00506F33"/>
    <w:rsid w:val="00510AAD"/>
    <w:rsid w:val="0051110F"/>
    <w:rsid w:val="00511950"/>
    <w:rsid w:val="005142B5"/>
    <w:rsid w:val="005149EA"/>
    <w:rsid w:val="00515336"/>
    <w:rsid w:val="00516E98"/>
    <w:rsid w:val="005203CE"/>
    <w:rsid w:val="00521021"/>
    <w:rsid w:val="00522055"/>
    <w:rsid w:val="005238E8"/>
    <w:rsid w:val="005243B1"/>
    <w:rsid w:val="005245A2"/>
    <w:rsid w:val="005245BE"/>
    <w:rsid w:val="00530C76"/>
    <w:rsid w:val="00531896"/>
    <w:rsid w:val="005320CF"/>
    <w:rsid w:val="00532905"/>
    <w:rsid w:val="00533BE2"/>
    <w:rsid w:val="005355C2"/>
    <w:rsid w:val="005355E0"/>
    <w:rsid w:val="005356A7"/>
    <w:rsid w:val="00536916"/>
    <w:rsid w:val="00536A08"/>
    <w:rsid w:val="00540C78"/>
    <w:rsid w:val="00542095"/>
    <w:rsid w:val="00543104"/>
    <w:rsid w:val="005436A0"/>
    <w:rsid w:val="005436AC"/>
    <w:rsid w:val="00544D71"/>
    <w:rsid w:val="0054755F"/>
    <w:rsid w:val="00550429"/>
    <w:rsid w:val="00551BEB"/>
    <w:rsid w:val="00551EED"/>
    <w:rsid w:val="005524A8"/>
    <w:rsid w:val="005555C5"/>
    <w:rsid w:val="0055565A"/>
    <w:rsid w:val="00555C22"/>
    <w:rsid w:val="005601F2"/>
    <w:rsid w:val="0056047C"/>
    <w:rsid w:val="0056104B"/>
    <w:rsid w:val="00562862"/>
    <w:rsid w:val="005631D7"/>
    <w:rsid w:val="005647E6"/>
    <w:rsid w:val="005651F2"/>
    <w:rsid w:val="00565AE6"/>
    <w:rsid w:val="005667F9"/>
    <w:rsid w:val="0056734A"/>
    <w:rsid w:val="00567FDA"/>
    <w:rsid w:val="00570B36"/>
    <w:rsid w:val="00571A17"/>
    <w:rsid w:val="005723D3"/>
    <w:rsid w:val="00572747"/>
    <w:rsid w:val="00572EB2"/>
    <w:rsid w:val="00573535"/>
    <w:rsid w:val="00573EEA"/>
    <w:rsid w:val="005740F3"/>
    <w:rsid w:val="005744A2"/>
    <w:rsid w:val="005750BA"/>
    <w:rsid w:val="005750EB"/>
    <w:rsid w:val="005753C1"/>
    <w:rsid w:val="00580D60"/>
    <w:rsid w:val="00581B12"/>
    <w:rsid w:val="005832EE"/>
    <w:rsid w:val="005850B0"/>
    <w:rsid w:val="00585CDD"/>
    <w:rsid w:val="00587DCE"/>
    <w:rsid w:val="005900D3"/>
    <w:rsid w:val="00595EE8"/>
    <w:rsid w:val="005A1081"/>
    <w:rsid w:val="005A1C43"/>
    <w:rsid w:val="005A4243"/>
    <w:rsid w:val="005A463D"/>
    <w:rsid w:val="005A4BCC"/>
    <w:rsid w:val="005A635C"/>
    <w:rsid w:val="005A71AD"/>
    <w:rsid w:val="005A759A"/>
    <w:rsid w:val="005A7EAC"/>
    <w:rsid w:val="005B0CB9"/>
    <w:rsid w:val="005B12FC"/>
    <w:rsid w:val="005B144A"/>
    <w:rsid w:val="005B2B9A"/>
    <w:rsid w:val="005B39D8"/>
    <w:rsid w:val="005B3B33"/>
    <w:rsid w:val="005B5107"/>
    <w:rsid w:val="005B5379"/>
    <w:rsid w:val="005B6125"/>
    <w:rsid w:val="005B64B5"/>
    <w:rsid w:val="005B6FBD"/>
    <w:rsid w:val="005C4457"/>
    <w:rsid w:val="005C5236"/>
    <w:rsid w:val="005C6DCD"/>
    <w:rsid w:val="005C74D1"/>
    <w:rsid w:val="005D07E0"/>
    <w:rsid w:val="005D0F0E"/>
    <w:rsid w:val="005D1509"/>
    <w:rsid w:val="005D30B8"/>
    <w:rsid w:val="005D44C7"/>
    <w:rsid w:val="005D4967"/>
    <w:rsid w:val="005D4A73"/>
    <w:rsid w:val="005D6397"/>
    <w:rsid w:val="005D7C0E"/>
    <w:rsid w:val="005E0E3B"/>
    <w:rsid w:val="005E10B9"/>
    <w:rsid w:val="005E3330"/>
    <w:rsid w:val="005E403D"/>
    <w:rsid w:val="005E5E01"/>
    <w:rsid w:val="005E788A"/>
    <w:rsid w:val="005E7AB1"/>
    <w:rsid w:val="005F13E9"/>
    <w:rsid w:val="005F2C66"/>
    <w:rsid w:val="005F3D6F"/>
    <w:rsid w:val="005F6D46"/>
    <w:rsid w:val="006007D6"/>
    <w:rsid w:val="006012ED"/>
    <w:rsid w:val="0060189B"/>
    <w:rsid w:val="006026ED"/>
    <w:rsid w:val="00602CFC"/>
    <w:rsid w:val="0060397D"/>
    <w:rsid w:val="00603C57"/>
    <w:rsid w:val="00605ACF"/>
    <w:rsid w:val="00605C7D"/>
    <w:rsid w:val="0061336C"/>
    <w:rsid w:val="006176A9"/>
    <w:rsid w:val="006209CB"/>
    <w:rsid w:val="0062184C"/>
    <w:rsid w:val="00622D7E"/>
    <w:rsid w:val="006232F2"/>
    <w:rsid w:val="0062468F"/>
    <w:rsid w:val="00627263"/>
    <w:rsid w:val="0062770F"/>
    <w:rsid w:val="00627C10"/>
    <w:rsid w:val="0063172B"/>
    <w:rsid w:val="00632288"/>
    <w:rsid w:val="006330FF"/>
    <w:rsid w:val="00633922"/>
    <w:rsid w:val="006341DE"/>
    <w:rsid w:val="00636385"/>
    <w:rsid w:val="00636CCF"/>
    <w:rsid w:val="0064059D"/>
    <w:rsid w:val="00640672"/>
    <w:rsid w:val="00643053"/>
    <w:rsid w:val="0064460B"/>
    <w:rsid w:val="00646C4B"/>
    <w:rsid w:val="00647DC9"/>
    <w:rsid w:val="006504DD"/>
    <w:rsid w:val="00650FC4"/>
    <w:rsid w:val="006514A8"/>
    <w:rsid w:val="006528CF"/>
    <w:rsid w:val="0065427C"/>
    <w:rsid w:val="0065495C"/>
    <w:rsid w:val="006549C9"/>
    <w:rsid w:val="006557A2"/>
    <w:rsid w:val="00657A5F"/>
    <w:rsid w:val="00657B3A"/>
    <w:rsid w:val="00660688"/>
    <w:rsid w:val="006608E6"/>
    <w:rsid w:val="00661519"/>
    <w:rsid w:val="00661596"/>
    <w:rsid w:val="0066223E"/>
    <w:rsid w:val="00662ABD"/>
    <w:rsid w:val="00662D30"/>
    <w:rsid w:val="006632DD"/>
    <w:rsid w:val="00663691"/>
    <w:rsid w:val="006660F6"/>
    <w:rsid w:val="00666F34"/>
    <w:rsid w:val="00671F3F"/>
    <w:rsid w:val="00672026"/>
    <w:rsid w:val="006736A6"/>
    <w:rsid w:val="006738E4"/>
    <w:rsid w:val="00674334"/>
    <w:rsid w:val="006766AE"/>
    <w:rsid w:val="0068077F"/>
    <w:rsid w:val="00683A3A"/>
    <w:rsid w:val="00686555"/>
    <w:rsid w:val="00690558"/>
    <w:rsid w:val="00690EE1"/>
    <w:rsid w:val="00692979"/>
    <w:rsid w:val="00692A4C"/>
    <w:rsid w:val="0069493D"/>
    <w:rsid w:val="00695617"/>
    <w:rsid w:val="006971B4"/>
    <w:rsid w:val="00697832"/>
    <w:rsid w:val="006A037A"/>
    <w:rsid w:val="006A0738"/>
    <w:rsid w:val="006A1378"/>
    <w:rsid w:val="006A2CF7"/>
    <w:rsid w:val="006A2FA7"/>
    <w:rsid w:val="006A5BEB"/>
    <w:rsid w:val="006A636A"/>
    <w:rsid w:val="006A72FA"/>
    <w:rsid w:val="006A7FB2"/>
    <w:rsid w:val="006B0067"/>
    <w:rsid w:val="006B0354"/>
    <w:rsid w:val="006B1119"/>
    <w:rsid w:val="006B22A3"/>
    <w:rsid w:val="006B3353"/>
    <w:rsid w:val="006B4187"/>
    <w:rsid w:val="006B6E0A"/>
    <w:rsid w:val="006B7063"/>
    <w:rsid w:val="006B7B31"/>
    <w:rsid w:val="006C02BC"/>
    <w:rsid w:val="006C065B"/>
    <w:rsid w:val="006C1C12"/>
    <w:rsid w:val="006C23AC"/>
    <w:rsid w:val="006C2A21"/>
    <w:rsid w:val="006C2E79"/>
    <w:rsid w:val="006C4429"/>
    <w:rsid w:val="006D0429"/>
    <w:rsid w:val="006D0821"/>
    <w:rsid w:val="006D0B1F"/>
    <w:rsid w:val="006D14F0"/>
    <w:rsid w:val="006D3532"/>
    <w:rsid w:val="006D3992"/>
    <w:rsid w:val="006D590B"/>
    <w:rsid w:val="006D5AE2"/>
    <w:rsid w:val="006D5CCC"/>
    <w:rsid w:val="006D6E05"/>
    <w:rsid w:val="006D7169"/>
    <w:rsid w:val="006D79EE"/>
    <w:rsid w:val="006E11DC"/>
    <w:rsid w:val="006E13C5"/>
    <w:rsid w:val="006E321D"/>
    <w:rsid w:val="006E3EFB"/>
    <w:rsid w:val="006E4C08"/>
    <w:rsid w:val="006E65E9"/>
    <w:rsid w:val="006E7483"/>
    <w:rsid w:val="006E78CA"/>
    <w:rsid w:val="006F0B02"/>
    <w:rsid w:val="006F12C1"/>
    <w:rsid w:val="006F1789"/>
    <w:rsid w:val="006F18C1"/>
    <w:rsid w:val="006F1D24"/>
    <w:rsid w:val="006F51B4"/>
    <w:rsid w:val="006F61BF"/>
    <w:rsid w:val="006F637A"/>
    <w:rsid w:val="006F7C41"/>
    <w:rsid w:val="00700CE7"/>
    <w:rsid w:val="00702249"/>
    <w:rsid w:val="00702F6E"/>
    <w:rsid w:val="00703431"/>
    <w:rsid w:val="0070398F"/>
    <w:rsid w:val="00703EF6"/>
    <w:rsid w:val="007052F3"/>
    <w:rsid w:val="0070560C"/>
    <w:rsid w:val="0071068A"/>
    <w:rsid w:val="00712345"/>
    <w:rsid w:val="007123FF"/>
    <w:rsid w:val="007125D8"/>
    <w:rsid w:val="0071385E"/>
    <w:rsid w:val="00713CAA"/>
    <w:rsid w:val="00713F56"/>
    <w:rsid w:val="007142CC"/>
    <w:rsid w:val="00714E5D"/>
    <w:rsid w:val="00715AE8"/>
    <w:rsid w:val="0071710B"/>
    <w:rsid w:val="00721245"/>
    <w:rsid w:val="00721619"/>
    <w:rsid w:val="0072353F"/>
    <w:rsid w:val="00724853"/>
    <w:rsid w:val="0072485A"/>
    <w:rsid w:val="007302AB"/>
    <w:rsid w:val="00730439"/>
    <w:rsid w:val="007327B4"/>
    <w:rsid w:val="00733347"/>
    <w:rsid w:val="00734BC6"/>
    <w:rsid w:val="0073794E"/>
    <w:rsid w:val="007414CD"/>
    <w:rsid w:val="00741CCE"/>
    <w:rsid w:val="007428B8"/>
    <w:rsid w:val="00744EC3"/>
    <w:rsid w:val="007452B5"/>
    <w:rsid w:val="007454D8"/>
    <w:rsid w:val="00751A49"/>
    <w:rsid w:val="007532CC"/>
    <w:rsid w:val="007533F3"/>
    <w:rsid w:val="007534E2"/>
    <w:rsid w:val="007535C6"/>
    <w:rsid w:val="00753CFD"/>
    <w:rsid w:val="0075417A"/>
    <w:rsid w:val="00754F18"/>
    <w:rsid w:val="00760B5E"/>
    <w:rsid w:val="007614F8"/>
    <w:rsid w:val="007617E4"/>
    <w:rsid w:val="007618F5"/>
    <w:rsid w:val="00762708"/>
    <w:rsid w:val="00762A4B"/>
    <w:rsid w:val="00763FA5"/>
    <w:rsid w:val="00764DC7"/>
    <w:rsid w:val="00764EF8"/>
    <w:rsid w:val="00765B7A"/>
    <w:rsid w:val="00766E66"/>
    <w:rsid w:val="0076752A"/>
    <w:rsid w:val="00770932"/>
    <w:rsid w:val="0077188A"/>
    <w:rsid w:val="00772582"/>
    <w:rsid w:val="007743BF"/>
    <w:rsid w:val="00774729"/>
    <w:rsid w:val="00774764"/>
    <w:rsid w:val="00780C5E"/>
    <w:rsid w:val="0078140E"/>
    <w:rsid w:val="00784CAF"/>
    <w:rsid w:val="00785A67"/>
    <w:rsid w:val="00791137"/>
    <w:rsid w:val="0079135F"/>
    <w:rsid w:val="00791AAD"/>
    <w:rsid w:val="0079269B"/>
    <w:rsid w:val="00793F94"/>
    <w:rsid w:val="0079586F"/>
    <w:rsid w:val="007959A2"/>
    <w:rsid w:val="00795C0B"/>
    <w:rsid w:val="00796A8B"/>
    <w:rsid w:val="007A1172"/>
    <w:rsid w:val="007A14D4"/>
    <w:rsid w:val="007A1826"/>
    <w:rsid w:val="007A283B"/>
    <w:rsid w:val="007A504D"/>
    <w:rsid w:val="007B2D33"/>
    <w:rsid w:val="007B3955"/>
    <w:rsid w:val="007B3BA0"/>
    <w:rsid w:val="007B4219"/>
    <w:rsid w:val="007B4436"/>
    <w:rsid w:val="007B5A9C"/>
    <w:rsid w:val="007B60E6"/>
    <w:rsid w:val="007B617C"/>
    <w:rsid w:val="007B74AF"/>
    <w:rsid w:val="007C03CC"/>
    <w:rsid w:val="007C0E73"/>
    <w:rsid w:val="007C1406"/>
    <w:rsid w:val="007C1A1C"/>
    <w:rsid w:val="007C20F0"/>
    <w:rsid w:val="007C366E"/>
    <w:rsid w:val="007C41F0"/>
    <w:rsid w:val="007C4287"/>
    <w:rsid w:val="007C5564"/>
    <w:rsid w:val="007C585B"/>
    <w:rsid w:val="007C6849"/>
    <w:rsid w:val="007C76D0"/>
    <w:rsid w:val="007D19E8"/>
    <w:rsid w:val="007D2424"/>
    <w:rsid w:val="007D30A2"/>
    <w:rsid w:val="007D4055"/>
    <w:rsid w:val="007D7E7E"/>
    <w:rsid w:val="007E2D75"/>
    <w:rsid w:val="007E2E2E"/>
    <w:rsid w:val="007E3D7B"/>
    <w:rsid w:val="007E428D"/>
    <w:rsid w:val="007E607D"/>
    <w:rsid w:val="007E7FDE"/>
    <w:rsid w:val="007F0316"/>
    <w:rsid w:val="007F0968"/>
    <w:rsid w:val="007F0B49"/>
    <w:rsid w:val="007F0D76"/>
    <w:rsid w:val="007F0F49"/>
    <w:rsid w:val="007F26C4"/>
    <w:rsid w:val="007F41E7"/>
    <w:rsid w:val="007F5040"/>
    <w:rsid w:val="007F556A"/>
    <w:rsid w:val="007F6C5E"/>
    <w:rsid w:val="007F720E"/>
    <w:rsid w:val="007F78E3"/>
    <w:rsid w:val="008005FF"/>
    <w:rsid w:val="0080274D"/>
    <w:rsid w:val="00803C99"/>
    <w:rsid w:val="00803DA0"/>
    <w:rsid w:val="008043A9"/>
    <w:rsid w:val="00805414"/>
    <w:rsid w:val="00805A47"/>
    <w:rsid w:val="00806D6D"/>
    <w:rsid w:val="00811AAA"/>
    <w:rsid w:val="00812BD0"/>
    <w:rsid w:val="008139E1"/>
    <w:rsid w:val="008145EF"/>
    <w:rsid w:val="00815851"/>
    <w:rsid w:val="00816255"/>
    <w:rsid w:val="0081737D"/>
    <w:rsid w:val="00820B1C"/>
    <w:rsid w:val="008222F1"/>
    <w:rsid w:val="00823309"/>
    <w:rsid w:val="008234FF"/>
    <w:rsid w:val="00824A3D"/>
    <w:rsid w:val="00825143"/>
    <w:rsid w:val="00825DA4"/>
    <w:rsid w:val="00827B28"/>
    <w:rsid w:val="00831061"/>
    <w:rsid w:val="0083148B"/>
    <w:rsid w:val="00831A42"/>
    <w:rsid w:val="00831DFA"/>
    <w:rsid w:val="008325A5"/>
    <w:rsid w:val="00833317"/>
    <w:rsid w:val="008345B4"/>
    <w:rsid w:val="00834833"/>
    <w:rsid w:val="008351F2"/>
    <w:rsid w:val="00836125"/>
    <w:rsid w:val="0083661A"/>
    <w:rsid w:val="00836638"/>
    <w:rsid w:val="00836959"/>
    <w:rsid w:val="008419EF"/>
    <w:rsid w:val="008423DB"/>
    <w:rsid w:val="00843DD0"/>
    <w:rsid w:val="00844020"/>
    <w:rsid w:val="00844AA7"/>
    <w:rsid w:val="008457C3"/>
    <w:rsid w:val="00845D96"/>
    <w:rsid w:val="0084693C"/>
    <w:rsid w:val="00847C70"/>
    <w:rsid w:val="008520B9"/>
    <w:rsid w:val="00855E27"/>
    <w:rsid w:val="0085607F"/>
    <w:rsid w:val="0085766A"/>
    <w:rsid w:val="0086007F"/>
    <w:rsid w:val="00861037"/>
    <w:rsid w:val="00861906"/>
    <w:rsid w:val="0086204B"/>
    <w:rsid w:val="008635A5"/>
    <w:rsid w:val="00865371"/>
    <w:rsid w:val="0086652B"/>
    <w:rsid w:val="00870B6E"/>
    <w:rsid w:val="00872AF7"/>
    <w:rsid w:val="0087350D"/>
    <w:rsid w:val="0087467E"/>
    <w:rsid w:val="008834FC"/>
    <w:rsid w:val="0088388A"/>
    <w:rsid w:val="00884E8D"/>
    <w:rsid w:val="0088654F"/>
    <w:rsid w:val="00887C77"/>
    <w:rsid w:val="0089076B"/>
    <w:rsid w:val="0089266B"/>
    <w:rsid w:val="008943E6"/>
    <w:rsid w:val="00894AB2"/>
    <w:rsid w:val="00895960"/>
    <w:rsid w:val="008A2665"/>
    <w:rsid w:val="008A359B"/>
    <w:rsid w:val="008A40F9"/>
    <w:rsid w:val="008A71D1"/>
    <w:rsid w:val="008A7C58"/>
    <w:rsid w:val="008B191E"/>
    <w:rsid w:val="008B29C3"/>
    <w:rsid w:val="008B3260"/>
    <w:rsid w:val="008B56DF"/>
    <w:rsid w:val="008B5A9A"/>
    <w:rsid w:val="008B7B0E"/>
    <w:rsid w:val="008C2BDF"/>
    <w:rsid w:val="008C3A7F"/>
    <w:rsid w:val="008C400C"/>
    <w:rsid w:val="008C4808"/>
    <w:rsid w:val="008C5CE6"/>
    <w:rsid w:val="008C7901"/>
    <w:rsid w:val="008D019E"/>
    <w:rsid w:val="008D1CA9"/>
    <w:rsid w:val="008D1EB8"/>
    <w:rsid w:val="008D2CC9"/>
    <w:rsid w:val="008D419B"/>
    <w:rsid w:val="008D59B9"/>
    <w:rsid w:val="008D5EE5"/>
    <w:rsid w:val="008D76BB"/>
    <w:rsid w:val="008E00A4"/>
    <w:rsid w:val="008E0C35"/>
    <w:rsid w:val="008E35DB"/>
    <w:rsid w:val="008E3B36"/>
    <w:rsid w:val="008E4B37"/>
    <w:rsid w:val="008E5905"/>
    <w:rsid w:val="008E6600"/>
    <w:rsid w:val="008E75B8"/>
    <w:rsid w:val="008F0EA8"/>
    <w:rsid w:val="008F1691"/>
    <w:rsid w:val="008F18F1"/>
    <w:rsid w:val="008F2296"/>
    <w:rsid w:val="008F36DB"/>
    <w:rsid w:val="00900BAB"/>
    <w:rsid w:val="00901985"/>
    <w:rsid w:val="00901B78"/>
    <w:rsid w:val="00903284"/>
    <w:rsid w:val="00903B3B"/>
    <w:rsid w:val="00903CF8"/>
    <w:rsid w:val="00903E00"/>
    <w:rsid w:val="009048A2"/>
    <w:rsid w:val="00904A92"/>
    <w:rsid w:val="00905A1A"/>
    <w:rsid w:val="00906538"/>
    <w:rsid w:val="00906728"/>
    <w:rsid w:val="00906AAE"/>
    <w:rsid w:val="00907292"/>
    <w:rsid w:val="00910854"/>
    <w:rsid w:val="00910A53"/>
    <w:rsid w:val="00910FA0"/>
    <w:rsid w:val="00911CAD"/>
    <w:rsid w:val="0091339B"/>
    <w:rsid w:val="0091483A"/>
    <w:rsid w:val="00915205"/>
    <w:rsid w:val="009155EE"/>
    <w:rsid w:val="00916AFA"/>
    <w:rsid w:val="00916B75"/>
    <w:rsid w:val="00916F9A"/>
    <w:rsid w:val="009170BC"/>
    <w:rsid w:val="00921531"/>
    <w:rsid w:val="00921747"/>
    <w:rsid w:val="00925286"/>
    <w:rsid w:val="009258E5"/>
    <w:rsid w:val="00931223"/>
    <w:rsid w:val="00933B64"/>
    <w:rsid w:val="00935511"/>
    <w:rsid w:val="00935EEB"/>
    <w:rsid w:val="0093606F"/>
    <w:rsid w:val="00936933"/>
    <w:rsid w:val="009376CD"/>
    <w:rsid w:val="00937BC2"/>
    <w:rsid w:val="00940F2F"/>
    <w:rsid w:val="0094125A"/>
    <w:rsid w:val="0094302D"/>
    <w:rsid w:val="00945242"/>
    <w:rsid w:val="009464BA"/>
    <w:rsid w:val="009472E6"/>
    <w:rsid w:val="00953ED1"/>
    <w:rsid w:val="00955273"/>
    <w:rsid w:val="00955DC3"/>
    <w:rsid w:val="009562EB"/>
    <w:rsid w:val="00956496"/>
    <w:rsid w:val="00956A16"/>
    <w:rsid w:val="009607D6"/>
    <w:rsid w:val="0096090A"/>
    <w:rsid w:val="00961D7F"/>
    <w:rsid w:val="00962CF1"/>
    <w:rsid w:val="00964B19"/>
    <w:rsid w:val="00964C95"/>
    <w:rsid w:val="00965719"/>
    <w:rsid w:val="00971830"/>
    <w:rsid w:val="0097272F"/>
    <w:rsid w:val="00973BE7"/>
    <w:rsid w:val="00973CB3"/>
    <w:rsid w:val="0097516C"/>
    <w:rsid w:val="009755B6"/>
    <w:rsid w:val="009769B5"/>
    <w:rsid w:val="00977028"/>
    <w:rsid w:val="00977886"/>
    <w:rsid w:val="00981688"/>
    <w:rsid w:val="0098240A"/>
    <w:rsid w:val="0098259F"/>
    <w:rsid w:val="0098358E"/>
    <w:rsid w:val="00983EA0"/>
    <w:rsid w:val="009905DC"/>
    <w:rsid w:val="009907E1"/>
    <w:rsid w:val="00990C3C"/>
    <w:rsid w:val="00991F79"/>
    <w:rsid w:val="0099391A"/>
    <w:rsid w:val="0099432D"/>
    <w:rsid w:val="0099572D"/>
    <w:rsid w:val="00996526"/>
    <w:rsid w:val="00997DAC"/>
    <w:rsid w:val="009A0313"/>
    <w:rsid w:val="009A07BE"/>
    <w:rsid w:val="009A2DD1"/>
    <w:rsid w:val="009A48A6"/>
    <w:rsid w:val="009A6BE8"/>
    <w:rsid w:val="009A6F01"/>
    <w:rsid w:val="009B29D2"/>
    <w:rsid w:val="009B381A"/>
    <w:rsid w:val="009B4D3F"/>
    <w:rsid w:val="009B50C4"/>
    <w:rsid w:val="009B5755"/>
    <w:rsid w:val="009B6A26"/>
    <w:rsid w:val="009C11A2"/>
    <w:rsid w:val="009C1AE5"/>
    <w:rsid w:val="009C34D3"/>
    <w:rsid w:val="009C3787"/>
    <w:rsid w:val="009C3BB3"/>
    <w:rsid w:val="009C4676"/>
    <w:rsid w:val="009C55B3"/>
    <w:rsid w:val="009C5D58"/>
    <w:rsid w:val="009C7418"/>
    <w:rsid w:val="009D14BC"/>
    <w:rsid w:val="009D17CF"/>
    <w:rsid w:val="009D211E"/>
    <w:rsid w:val="009D27A3"/>
    <w:rsid w:val="009D4080"/>
    <w:rsid w:val="009D4C69"/>
    <w:rsid w:val="009D5CEC"/>
    <w:rsid w:val="009D5E4E"/>
    <w:rsid w:val="009D6597"/>
    <w:rsid w:val="009D6C87"/>
    <w:rsid w:val="009D7000"/>
    <w:rsid w:val="009E113E"/>
    <w:rsid w:val="009E2417"/>
    <w:rsid w:val="009E2C50"/>
    <w:rsid w:val="009E3B7F"/>
    <w:rsid w:val="009E457F"/>
    <w:rsid w:val="009E4E1F"/>
    <w:rsid w:val="009F009E"/>
    <w:rsid w:val="009F01D5"/>
    <w:rsid w:val="009F1B16"/>
    <w:rsid w:val="009F201B"/>
    <w:rsid w:val="009F47A6"/>
    <w:rsid w:val="009F4CCC"/>
    <w:rsid w:val="009F6D10"/>
    <w:rsid w:val="00A004A4"/>
    <w:rsid w:val="00A01D5A"/>
    <w:rsid w:val="00A03A7B"/>
    <w:rsid w:val="00A03B12"/>
    <w:rsid w:val="00A042EE"/>
    <w:rsid w:val="00A04ECD"/>
    <w:rsid w:val="00A05C89"/>
    <w:rsid w:val="00A05CE0"/>
    <w:rsid w:val="00A05D0C"/>
    <w:rsid w:val="00A05D77"/>
    <w:rsid w:val="00A06E5D"/>
    <w:rsid w:val="00A072C5"/>
    <w:rsid w:val="00A07617"/>
    <w:rsid w:val="00A133D7"/>
    <w:rsid w:val="00A1439E"/>
    <w:rsid w:val="00A151DE"/>
    <w:rsid w:val="00A155B6"/>
    <w:rsid w:val="00A15CB9"/>
    <w:rsid w:val="00A20217"/>
    <w:rsid w:val="00A204D0"/>
    <w:rsid w:val="00A20F2A"/>
    <w:rsid w:val="00A2163F"/>
    <w:rsid w:val="00A23581"/>
    <w:rsid w:val="00A2380B"/>
    <w:rsid w:val="00A2565B"/>
    <w:rsid w:val="00A25AD6"/>
    <w:rsid w:val="00A26628"/>
    <w:rsid w:val="00A27D05"/>
    <w:rsid w:val="00A30400"/>
    <w:rsid w:val="00A30FB6"/>
    <w:rsid w:val="00A31444"/>
    <w:rsid w:val="00A3194A"/>
    <w:rsid w:val="00A325F5"/>
    <w:rsid w:val="00A33FC9"/>
    <w:rsid w:val="00A34A00"/>
    <w:rsid w:val="00A34D18"/>
    <w:rsid w:val="00A350AC"/>
    <w:rsid w:val="00A36494"/>
    <w:rsid w:val="00A37604"/>
    <w:rsid w:val="00A37D78"/>
    <w:rsid w:val="00A4097A"/>
    <w:rsid w:val="00A40E72"/>
    <w:rsid w:val="00A40FB1"/>
    <w:rsid w:val="00A41C84"/>
    <w:rsid w:val="00A42310"/>
    <w:rsid w:val="00A44C98"/>
    <w:rsid w:val="00A50317"/>
    <w:rsid w:val="00A5062A"/>
    <w:rsid w:val="00A514E8"/>
    <w:rsid w:val="00A523B8"/>
    <w:rsid w:val="00A529A8"/>
    <w:rsid w:val="00A548C0"/>
    <w:rsid w:val="00A54A04"/>
    <w:rsid w:val="00A55E95"/>
    <w:rsid w:val="00A57CC6"/>
    <w:rsid w:val="00A61B63"/>
    <w:rsid w:val="00A623B7"/>
    <w:rsid w:val="00A659FD"/>
    <w:rsid w:val="00A65AC6"/>
    <w:rsid w:val="00A66657"/>
    <w:rsid w:val="00A679AA"/>
    <w:rsid w:val="00A701A3"/>
    <w:rsid w:val="00A70746"/>
    <w:rsid w:val="00A70AA6"/>
    <w:rsid w:val="00A71EC4"/>
    <w:rsid w:val="00A76AAD"/>
    <w:rsid w:val="00A77C44"/>
    <w:rsid w:val="00A80BF3"/>
    <w:rsid w:val="00A80D03"/>
    <w:rsid w:val="00A821F4"/>
    <w:rsid w:val="00A8292C"/>
    <w:rsid w:val="00A8304F"/>
    <w:rsid w:val="00A83F66"/>
    <w:rsid w:val="00A84D05"/>
    <w:rsid w:val="00A85301"/>
    <w:rsid w:val="00A8680D"/>
    <w:rsid w:val="00A86E2B"/>
    <w:rsid w:val="00A871AC"/>
    <w:rsid w:val="00A926C4"/>
    <w:rsid w:val="00A934EF"/>
    <w:rsid w:val="00A950BA"/>
    <w:rsid w:val="00A95E70"/>
    <w:rsid w:val="00A97296"/>
    <w:rsid w:val="00AA08A2"/>
    <w:rsid w:val="00AA0B0F"/>
    <w:rsid w:val="00AA146D"/>
    <w:rsid w:val="00AA28BD"/>
    <w:rsid w:val="00AA326E"/>
    <w:rsid w:val="00AA3BDC"/>
    <w:rsid w:val="00AA3FF3"/>
    <w:rsid w:val="00AA6061"/>
    <w:rsid w:val="00AA690B"/>
    <w:rsid w:val="00AA71EF"/>
    <w:rsid w:val="00AA762E"/>
    <w:rsid w:val="00AA7D2C"/>
    <w:rsid w:val="00AA7E58"/>
    <w:rsid w:val="00AB0DBD"/>
    <w:rsid w:val="00AB1D95"/>
    <w:rsid w:val="00AB2204"/>
    <w:rsid w:val="00AB240C"/>
    <w:rsid w:val="00AB3C70"/>
    <w:rsid w:val="00AB4D06"/>
    <w:rsid w:val="00AB675C"/>
    <w:rsid w:val="00AB682E"/>
    <w:rsid w:val="00AC0308"/>
    <w:rsid w:val="00AC06C8"/>
    <w:rsid w:val="00AC0B9C"/>
    <w:rsid w:val="00AC177A"/>
    <w:rsid w:val="00AC1BFC"/>
    <w:rsid w:val="00AC26F6"/>
    <w:rsid w:val="00AC30D8"/>
    <w:rsid w:val="00AC3E33"/>
    <w:rsid w:val="00AC64B6"/>
    <w:rsid w:val="00AC6726"/>
    <w:rsid w:val="00AC7BF7"/>
    <w:rsid w:val="00AD002C"/>
    <w:rsid w:val="00AD2785"/>
    <w:rsid w:val="00AD2F91"/>
    <w:rsid w:val="00AD430A"/>
    <w:rsid w:val="00AE0A5F"/>
    <w:rsid w:val="00AE11DA"/>
    <w:rsid w:val="00AE2AC9"/>
    <w:rsid w:val="00AE451C"/>
    <w:rsid w:val="00AE4B7B"/>
    <w:rsid w:val="00AE61DC"/>
    <w:rsid w:val="00AE71EC"/>
    <w:rsid w:val="00AE7401"/>
    <w:rsid w:val="00AE7DAC"/>
    <w:rsid w:val="00AF55CE"/>
    <w:rsid w:val="00AF5CBE"/>
    <w:rsid w:val="00AF60FF"/>
    <w:rsid w:val="00AF687D"/>
    <w:rsid w:val="00B007B9"/>
    <w:rsid w:val="00B01FA1"/>
    <w:rsid w:val="00B02ADF"/>
    <w:rsid w:val="00B02C26"/>
    <w:rsid w:val="00B06955"/>
    <w:rsid w:val="00B06BB8"/>
    <w:rsid w:val="00B1017E"/>
    <w:rsid w:val="00B10754"/>
    <w:rsid w:val="00B10E7C"/>
    <w:rsid w:val="00B115DD"/>
    <w:rsid w:val="00B1357B"/>
    <w:rsid w:val="00B14B11"/>
    <w:rsid w:val="00B14F2A"/>
    <w:rsid w:val="00B1655A"/>
    <w:rsid w:val="00B20A85"/>
    <w:rsid w:val="00B21206"/>
    <w:rsid w:val="00B21502"/>
    <w:rsid w:val="00B22765"/>
    <w:rsid w:val="00B26CE2"/>
    <w:rsid w:val="00B27967"/>
    <w:rsid w:val="00B31458"/>
    <w:rsid w:val="00B324EB"/>
    <w:rsid w:val="00B328EA"/>
    <w:rsid w:val="00B339DB"/>
    <w:rsid w:val="00B3434C"/>
    <w:rsid w:val="00B35714"/>
    <w:rsid w:val="00B36A1C"/>
    <w:rsid w:val="00B419DA"/>
    <w:rsid w:val="00B42489"/>
    <w:rsid w:val="00B425E2"/>
    <w:rsid w:val="00B44BDA"/>
    <w:rsid w:val="00B46B57"/>
    <w:rsid w:val="00B471CA"/>
    <w:rsid w:val="00B511DE"/>
    <w:rsid w:val="00B51B60"/>
    <w:rsid w:val="00B533D3"/>
    <w:rsid w:val="00B53598"/>
    <w:rsid w:val="00B55465"/>
    <w:rsid w:val="00B55E5E"/>
    <w:rsid w:val="00B562DB"/>
    <w:rsid w:val="00B6068E"/>
    <w:rsid w:val="00B606DE"/>
    <w:rsid w:val="00B64BB1"/>
    <w:rsid w:val="00B65007"/>
    <w:rsid w:val="00B65F28"/>
    <w:rsid w:val="00B668E2"/>
    <w:rsid w:val="00B67CA6"/>
    <w:rsid w:val="00B70938"/>
    <w:rsid w:val="00B718FB"/>
    <w:rsid w:val="00B73D6F"/>
    <w:rsid w:val="00B73DF1"/>
    <w:rsid w:val="00B74DE0"/>
    <w:rsid w:val="00B75969"/>
    <w:rsid w:val="00B804A6"/>
    <w:rsid w:val="00B81C21"/>
    <w:rsid w:val="00B81C94"/>
    <w:rsid w:val="00B81D2F"/>
    <w:rsid w:val="00B8295D"/>
    <w:rsid w:val="00B83E76"/>
    <w:rsid w:val="00B846F9"/>
    <w:rsid w:val="00B84F7D"/>
    <w:rsid w:val="00B86860"/>
    <w:rsid w:val="00B8712B"/>
    <w:rsid w:val="00B8786B"/>
    <w:rsid w:val="00B87B98"/>
    <w:rsid w:val="00B90BE4"/>
    <w:rsid w:val="00B90E31"/>
    <w:rsid w:val="00B913DF"/>
    <w:rsid w:val="00B91795"/>
    <w:rsid w:val="00B918C8"/>
    <w:rsid w:val="00B936C8"/>
    <w:rsid w:val="00B94429"/>
    <w:rsid w:val="00B94D0F"/>
    <w:rsid w:val="00B96302"/>
    <w:rsid w:val="00B966C8"/>
    <w:rsid w:val="00B96CF9"/>
    <w:rsid w:val="00BA1EDC"/>
    <w:rsid w:val="00BA1F06"/>
    <w:rsid w:val="00BA1FCA"/>
    <w:rsid w:val="00BA2E0C"/>
    <w:rsid w:val="00BA2F4D"/>
    <w:rsid w:val="00BA3874"/>
    <w:rsid w:val="00BA4442"/>
    <w:rsid w:val="00BA4E80"/>
    <w:rsid w:val="00BA51E5"/>
    <w:rsid w:val="00BA57E9"/>
    <w:rsid w:val="00BA5D44"/>
    <w:rsid w:val="00BA5F4C"/>
    <w:rsid w:val="00BA62CD"/>
    <w:rsid w:val="00BA654D"/>
    <w:rsid w:val="00BB15AD"/>
    <w:rsid w:val="00BB1734"/>
    <w:rsid w:val="00BB29E9"/>
    <w:rsid w:val="00BB2E4D"/>
    <w:rsid w:val="00BB37CF"/>
    <w:rsid w:val="00BB3C56"/>
    <w:rsid w:val="00BB4A0D"/>
    <w:rsid w:val="00BB539F"/>
    <w:rsid w:val="00BB5FB8"/>
    <w:rsid w:val="00BB64E2"/>
    <w:rsid w:val="00BB75C6"/>
    <w:rsid w:val="00BB7C5F"/>
    <w:rsid w:val="00BC1E00"/>
    <w:rsid w:val="00BC28F3"/>
    <w:rsid w:val="00BC3992"/>
    <w:rsid w:val="00BC4B8C"/>
    <w:rsid w:val="00BC4CC6"/>
    <w:rsid w:val="00BC5EF4"/>
    <w:rsid w:val="00BC67B6"/>
    <w:rsid w:val="00BC7D48"/>
    <w:rsid w:val="00BD089E"/>
    <w:rsid w:val="00BD19C5"/>
    <w:rsid w:val="00BD2302"/>
    <w:rsid w:val="00BD29EE"/>
    <w:rsid w:val="00BD2A2E"/>
    <w:rsid w:val="00BD2AFB"/>
    <w:rsid w:val="00BD2F73"/>
    <w:rsid w:val="00BD3742"/>
    <w:rsid w:val="00BD4F25"/>
    <w:rsid w:val="00BD51E3"/>
    <w:rsid w:val="00BD64B9"/>
    <w:rsid w:val="00BD6651"/>
    <w:rsid w:val="00BD7793"/>
    <w:rsid w:val="00BE0DDB"/>
    <w:rsid w:val="00BE12B3"/>
    <w:rsid w:val="00BE336C"/>
    <w:rsid w:val="00BF1C15"/>
    <w:rsid w:val="00BF2748"/>
    <w:rsid w:val="00BF38DB"/>
    <w:rsid w:val="00BF6EE5"/>
    <w:rsid w:val="00BF7554"/>
    <w:rsid w:val="00C00355"/>
    <w:rsid w:val="00C005BF"/>
    <w:rsid w:val="00C01129"/>
    <w:rsid w:val="00C01F3F"/>
    <w:rsid w:val="00C02096"/>
    <w:rsid w:val="00C0486E"/>
    <w:rsid w:val="00C05AAD"/>
    <w:rsid w:val="00C06F71"/>
    <w:rsid w:val="00C10155"/>
    <w:rsid w:val="00C129CC"/>
    <w:rsid w:val="00C12A84"/>
    <w:rsid w:val="00C12EF4"/>
    <w:rsid w:val="00C160A8"/>
    <w:rsid w:val="00C1619D"/>
    <w:rsid w:val="00C21E98"/>
    <w:rsid w:val="00C224BB"/>
    <w:rsid w:val="00C229F7"/>
    <w:rsid w:val="00C22D8D"/>
    <w:rsid w:val="00C230E7"/>
    <w:rsid w:val="00C238DB"/>
    <w:rsid w:val="00C24600"/>
    <w:rsid w:val="00C256DF"/>
    <w:rsid w:val="00C2688B"/>
    <w:rsid w:val="00C3052E"/>
    <w:rsid w:val="00C30FB5"/>
    <w:rsid w:val="00C3255E"/>
    <w:rsid w:val="00C328E8"/>
    <w:rsid w:val="00C34D2A"/>
    <w:rsid w:val="00C353C1"/>
    <w:rsid w:val="00C353E8"/>
    <w:rsid w:val="00C3785E"/>
    <w:rsid w:val="00C37F57"/>
    <w:rsid w:val="00C40D1A"/>
    <w:rsid w:val="00C41A06"/>
    <w:rsid w:val="00C4248A"/>
    <w:rsid w:val="00C42A7B"/>
    <w:rsid w:val="00C433C3"/>
    <w:rsid w:val="00C43CE2"/>
    <w:rsid w:val="00C43E5D"/>
    <w:rsid w:val="00C45EA3"/>
    <w:rsid w:val="00C462F2"/>
    <w:rsid w:val="00C46722"/>
    <w:rsid w:val="00C46FAE"/>
    <w:rsid w:val="00C51AB5"/>
    <w:rsid w:val="00C5288E"/>
    <w:rsid w:val="00C530CD"/>
    <w:rsid w:val="00C563E4"/>
    <w:rsid w:val="00C56650"/>
    <w:rsid w:val="00C604CB"/>
    <w:rsid w:val="00C60C42"/>
    <w:rsid w:val="00C6376B"/>
    <w:rsid w:val="00C65503"/>
    <w:rsid w:val="00C65755"/>
    <w:rsid w:val="00C702EC"/>
    <w:rsid w:val="00C70952"/>
    <w:rsid w:val="00C70C24"/>
    <w:rsid w:val="00C7185B"/>
    <w:rsid w:val="00C73F41"/>
    <w:rsid w:val="00C74BCE"/>
    <w:rsid w:val="00C74C43"/>
    <w:rsid w:val="00C74EEE"/>
    <w:rsid w:val="00C814B2"/>
    <w:rsid w:val="00C81CD0"/>
    <w:rsid w:val="00C8223A"/>
    <w:rsid w:val="00C827E5"/>
    <w:rsid w:val="00C8663C"/>
    <w:rsid w:val="00C871C6"/>
    <w:rsid w:val="00C8776E"/>
    <w:rsid w:val="00C87935"/>
    <w:rsid w:val="00C905DF"/>
    <w:rsid w:val="00C92676"/>
    <w:rsid w:val="00C933CE"/>
    <w:rsid w:val="00C93BFA"/>
    <w:rsid w:val="00C93EC7"/>
    <w:rsid w:val="00C94990"/>
    <w:rsid w:val="00C96F75"/>
    <w:rsid w:val="00CA08FB"/>
    <w:rsid w:val="00CA326C"/>
    <w:rsid w:val="00CA3487"/>
    <w:rsid w:val="00CA43E5"/>
    <w:rsid w:val="00CA47D7"/>
    <w:rsid w:val="00CA4BC9"/>
    <w:rsid w:val="00CA5B39"/>
    <w:rsid w:val="00CB07D0"/>
    <w:rsid w:val="00CB07D9"/>
    <w:rsid w:val="00CB1313"/>
    <w:rsid w:val="00CB2A0A"/>
    <w:rsid w:val="00CB3B1F"/>
    <w:rsid w:val="00CB5E69"/>
    <w:rsid w:val="00CB7251"/>
    <w:rsid w:val="00CB7A54"/>
    <w:rsid w:val="00CC2240"/>
    <w:rsid w:val="00CC3604"/>
    <w:rsid w:val="00CC5251"/>
    <w:rsid w:val="00CD0A88"/>
    <w:rsid w:val="00CD318C"/>
    <w:rsid w:val="00CD35BF"/>
    <w:rsid w:val="00CD4144"/>
    <w:rsid w:val="00CD4242"/>
    <w:rsid w:val="00CD4A66"/>
    <w:rsid w:val="00CD50EE"/>
    <w:rsid w:val="00CD5D22"/>
    <w:rsid w:val="00CD7E3D"/>
    <w:rsid w:val="00CD7F07"/>
    <w:rsid w:val="00CE0EB2"/>
    <w:rsid w:val="00CE276C"/>
    <w:rsid w:val="00CE3A4F"/>
    <w:rsid w:val="00CE6320"/>
    <w:rsid w:val="00CE751D"/>
    <w:rsid w:val="00CE76F8"/>
    <w:rsid w:val="00CE78D6"/>
    <w:rsid w:val="00CF0A34"/>
    <w:rsid w:val="00CF0ECC"/>
    <w:rsid w:val="00CF3E9A"/>
    <w:rsid w:val="00CF59FC"/>
    <w:rsid w:val="00CF6B64"/>
    <w:rsid w:val="00D01686"/>
    <w:rsid w:val="00D03D01"/>
    <w:rsid w:val="00D050A6"/>
    <w:rsid w:val="00D056CA"/>
    <w:rsid w:val="00D070E0"/>
    <w:rsid w:val="00D07616"/>
    <w:rsid w:val="00D112F6"/>
    <w:rsid w:val="00D1379C"/>
    <w:rsid w:val="00D13F1B"/>
    <w:rsid w:val="00D1420F"/>
    <w:rsid w:val="00D14F5A"/>
    <w:rsid w:val="00D1636D"/>
    <w:rsid w:val="00D16CC5"/>
    <w:rsid w:val="00D17775"/>
    <w:rsid w:val="00D233BF"/>
    <w:rsid w:val="00D24C59"/>
    <w:rsid w:val="00D250BC"/>
    <w:rsid w:val="00D2521C"/>
    <w:rsid w:val="00D27DB3"/>
    <w:rsid w:val="00D3235F"/>
    <w:rsid w:val="00D34CFB"/>
    <w:rsid w:val="00D35072"/>
    <w:rsid w:val="00D35C72"/>
    <w:rsid w:val="00D36C60"/>
    <w:rsid w:val="00D36F0E"/>
    <w:rsid w:val="00D3715C"/>
    <w:rsid w:val="00D37BC8"/>
    <w:rsid w:val="00D37DCF"/>
    <w:rsid w:val="00D401A7"/>
    <w:rsid w:val="00D41929"/>
    <w:rsid w:val="00D42BE3"/>
    <w:rsid w:val="00D44019"/>
    <w:rsid w:val="00D46267"/>
    <w:rsid w:val="00D46B55"/>
    <w:rsid w:val="00D47B33"/>
    <w:rsid w:val="00D47DAB"/>
    <w:rsid w:val="00D5013C"/>
    <w:rsid w:val="00D51BA6"/>
    <w:rsid w:val="00D52E9D"/>
    <w:rsid w:val="00D53196"/>
    <w:rsid w:val="00D5319F"/>
    <w:rsid w:val="00D55071"/>
    <w:rsid w:val="00D563A7"/>
    <w:rsid w:val="00D607C0"/>
    <w:rsid w:val="00D612D3"/>
    <w:rsid w:val="00D62794"/>
    <w:rsid w:val="00D62942"/>
    <w:rsid w:val="00D62F57"/>
    <w:rsid w:val="00D64B1B"/>
    <w:rsid w:val="00D653CE"/>
    <w:rsid w:val="00D67EFD"/>
    <w:rsid w:val="00D7051C"/>
    <w:rsid w:val="00D70C61"/>
    <w:rsid w:val="00D7149F"/>
    <w:rsid w:val="00D71848"/>
    <w:rsid w:val="00D73907"/>
    <w:rsid w:val="00D74E26"/>
    <w:rsid w:val="00D75190"/>
    <w:rsid w:val="00D75FB9"/>
    <w:rsid w:val="00D76410"/>
    <w:rsid w:val="00D766EC"/>
    <w:rsid w:val="00D77150"/>
    <w:rsid w:val="00D777A1"/>
    <w:rsid w:val="00D7798C"/>
    <w:rsid w:val="00D77D3F"/>
    <w:rsid w:val="00D821B5"/>
    <w:rsid w:val="00D8534B"/>
    <w:rsid w:val="00D86CC9"/>
    <w:rsid w:val="00D86FCA"/>
    <w:rsid w:val="00D875D3"/>
    <w:rsid w:val="00D904C2"/>
    <w:rsid w:val="00D909DB"/>
    <w:rsid w:val="00D913AD"/>
    <w:rsid w:val="00D916C8"/>
    <w:rsid w:val="00D93024"/>
    <w:rsid w:val="00D93503"/>
    <w:rsid w:val="00D93AC0"/>
    <w:rsid w:val="00D94FD7"/>
    <w:rsid w:val="00D955FD"/>
    <w:rsid w:val="00D95614"/>
    <w:rsid w:val="00D96253"/>
    <w:rsid w:val="00D97696"/>
    <w:rsid w:val="00DA102F"/>
    <w:rsid w:val="00DA3575"/>
    <w:rsid w:val="00DA3F1F"/>
    <w:rsid w:val="00DA4137"/>
    <w:rsid w:val="00DA5A2B"/>
    <w:rsid w:val="00DA75A7"/>
    <w:rsid w:val="00DB17F7"/>
    <w:rsid w:val="00DB29FD"/>
    <w:rsid w:val="00DB3653"/>
    <w:rsid w:val="00DB4F02"/>
    <w:rsid w:val="00DB67AC"/>
    <w:rsid w:val="00DC02F9"/>
    <w:rsid w:val="00DC2051"/>
    <w:rsid w:val="00DC250E"/>
    <w:rsid w:val="00DC4DAE"/>
    <w:rsid w:val="00DC546F"/>
    <w:rsid w:val="00DC62E3"/>
    <w:rsid w:val="00DD0C65"/>
    <w:rsid w:val="00DD134F"/>
    <w:rsid w:val="00DD1AB8"/>
    <w:rsid w:val="00DD3CDA"/>
    <w:rsid w:val="00DD4ABB"/>
    <w:rsid w:val="00DD52A3"/>
    <w:rsid w:val="00DD5A85"/>
    <w:rsid w:val="00DD5E67"/>
    <w:rsid w:val="00DD6627"/>
    <w:rsid w:val="00DE016C"/>
    <w:rsid w:val="00DE062C"/>
    <w:rsid w:val="00DE0DCA"/>
    <w:rsid w:val="00DE0DCE"/>
    <w:rsid w:val="00DE0E1A"/>
    <w:rsid w:val="00DE1304"/>
    <w:rsid w:val="00DE3D6D"/>
    <w:rsid w:val="00DE47F6"/>
    <w:rsid w:val="00DE4922"/>
    <w:rsid w:val="00DE57DA"/>
    <w:rsid w:val="00DE59D6"/>
    <w:rsid w:val="00DE6AF2"/>
    <w:rsid w:val="00DE7E32"/>
    <w:rsid w:val="00DF349F"/>
    <w:rsid w:val="00DF445D"/>
    <w:rsid w:val="00DF5AA9"/>
    <w:rsid w:val="00DF611E"/>
    <w:rsid w:val="00E00C54"/>
    <w:rsid w:val="00E01CE2"/>
    <w:rsid w:val="00E021C5"/>
    <w:rsid w:val="00E02258"/>
    <w:rsid w:val="00E07C18"/>
    <w:rsid w:val="00E10B26"/>
    <w:rsid w:val="00E12CEE"/>
    <w:rsid w:val="00E14009"/>
    <w:rsid w:val="00E15A78"/>
    <w:rsid w:val="00E16AB3"/>
    <w:rsid w:val="00E16FB5"/>
    <w:rsid w:val="00E17D40"/>
    <w:rsid w:val="00E207F1"/>
    <w:rsid w:val="00E229E6"/>
    <w:rsid w:val="00E22FB2"/>
    <w:rsid w:val="00E23ADE"/>
    <w:rsid w:val="00E254EC"/>
    <w:rsid w:val="00E260E2"/>
    <w:rsid w:val="00E263EA"/>
    <w:rsid w:val="00E26A06"/>
    <w:rsid w:val="00E270E1"/>
    <w:rsid w:val="00E278E3"/>
    <w:rsid w:val="00E30CE5"/>
    <w:rsid w:val="00E30D0C"/>
    <w:rsid w:val="00E31680"/>
    <w:rsid w:val="00E319EE"/>
    <w:rsid w:val="00E323A3"/>
    <w:rsid w:val="00E35494"/>
    <w:rsid w:val="00E404EF"/>
    <w:rsid w:val="00E409A1"/>
    <w:rsid w:val="00E40B03"/>
    <w:rsid w:val="00E41EA6"/>
    <w:rsid w:val="00E428B0"/>
    <w:rsid w:val="00E42FA2"/>
    <w:rsid w:val="00E4335E"/>
    <w:rsid w:val="00E45516"/>
    <w:rsid w:val="00E47144"/>
    <w:rsid w:val="00E473EA"/>
    <w:rsid w:val="00E51FC5"/>
    <w:rsid w:val="00E52BCD"/>
    <w:rsid w:val="00E54BC5"/>
    <w:rsid w:val="00E55186"/>
    <w:rsid w:val="00E57DAB"/>
    <w:rsid w:val="00E60C49"/>
    <w:rsid w:val="00E61B38"/>
    <w:rsid w:val="00E61B6A"/>
    <w:rsid w:val="00E61D2B"/>
    <w:rsid w:val="00E62E5D"/>
    <w:rsid w:val="00E63F15"/>
    <w:rsid w:val="00E661FB"/>
    <w:rsid w:val="00E66A72"/>
    <w:rsid w:val="00E66D73"/>
    <w:rsid w:val="00E7269C"/>
    <w:rsid w:val="00E72B27"/>
    <w:rsid w:val="00E7436B"/>
    <w:rsid w:val="00E77C98"/>
    <w:rsid w:val="00E80B65"/>
    <w:rsid w:val="00E81678"/>
    <w:rsid w:val="00E82541"/>
    <w:rsid w:val="00E825CC"/>
    <w:rsid w:val="00E84C70"/>
    <w:rsid w:val="00E86244"/>
    <w:rsid w:val="00E8754A"/>
    <w:rsid w:val="00E87D50"/>
    <w:rsid w:val="00E9191D"/>
    <w:rsid w:val="00E92CB0"/>
    <w:rsid w:val="00E92DCA"/>
    <w:rsid w:val="00E93BA6"/>
    <w:rsid w:val="00E96475"/>
    <w:rsid w:val="00EA0C9B"/>
    <w:rsid w:val="00EA19B3"/>
    <w:rsid w:val="00EA2011"/>
    <w:rsid w:val="00EA539C"/>
    <w:rsid w:val="00EA642B"/>
    <w:rsid w:val="00EA66A3"/>
    <w:rsid w:val="00EA6B4B"/>
    <w:rsid w:val="00EA7DE3"/>
    <w:rsid w:val="00EB0980"/>
    <w:rsid w:val="00EB21AE"/>
    <w:rsid w:val="00EB2265"/>
    <w:rsid w:val="00EB23A9"/>
    <w:rsid w:val="00EB4272"/>
    <w:rsid w:val="00EB4DF2"/>
    <w:rsid w:val="00EB5AAC"/>
    <w:rsid w:val="00EB7049"/>
    <w:rsid w:val="00EB7FF1"/>
    <w:rsid w:val="00EC0409"/>
    <w:rsid w:val="00EC203A"/>
    <w:rsid w:val="00EC5B69"/>
    <w:rsid w:val="00EC5E20"/>
    <w:rsid w:val="00ED1805"/>
    <w:rsid w:val="00ED2383"/>
    <w:rsid w:val="00ED4076"/>
    <w:rsid w:val="00ED499B"/>
    <w:rsid w:val="00ED6DB2"/>
    <w:rsid w:val="00ED7031"/>
    <w:rsid w:val="00EE0823"/>
    <w:rsid w:val="00EE134C"/>
    <w:rsid w:val="00EE2776"/>
    <w:rsid w:val="00EE338B"/>
    <w:rsid w:val="00EE5CEF"/>
    <w:rsid w:val="00EE6368"/>
    <w:rsid w:val="00EE7876"/>
    <w:rsid w:val="00EE7CE0"/>
    <w:rsid w:val="00EF0D96"/>
    <w:rsid w:val="00EF10BB"/>
    <w:rsid w:val="00EF1984"/>
    <w:rsid w:val="00EF52ED"/>
    <w:rsid w:val="00EF5C1E"/>
    <w:rsid w:val="00EF6118"/>
    <w:rsid w:val="00EF722A"/>
    <w:rsid w:val="00EF76BA"/>
    <w:rsid w:val="00EF7884"/>
    <w:rsid w:val="00F00011"/>
    <w:rsid w:val="00F01C68"/>
    <w:rsid w:val="00F023B0"/>
    <w:rsid w:val="00F02607"/>
    <w:rsid w:val="00F0349D"/>
    <w:rsid w:val="00F05DFE"/>
    <w:rsid w:val="00F11660"/>
    <w:rsid w:val="00F11F72"/>
    <w:rsid w:val="00F1347D"/>
    <w:rsid w:val="00F16152"/>
    <w:rsid w:val="00F167B0"/>
    <w:rsid w:val="00F21740"/>
    <w:rsid w:val="00F21EDB"/>
    <w:rsid w:val="00F22109"/>
    <w:rsid w:val="00F225F1"/>
    <w:rsid w:val="00F22ACD"/>
    <w:rsid w:val="00F26135"/>
    <w:rsid w:val="00F26EB3"/>
    <w:rsid w:val="00F30CC6"/>
    <w:rsid w:val="00F30D81"/>
    <w:rsid w:val="00F31AAC"/>
    <w:rsid w:val="00F3252A"/>
    <w:rsid w:val="00F331C3"/>
    <w:rsid w:val="00F347D6"/>
    <w:rsid w:val="00F35099"/>
    <w:rsid w:val="00F40A75"/>
    <w:rsid w:val="00F40B1A"/>
    <w:rsid w:val="00F40FB9"/>
    <w:rsid w:val="00F41649"/>
    <w:rsid w:val="00F417FB"/>
    <w:rsid w:val="00F4326D"/>
    <w:rsid w:val="00F43BA2"/>
    <w:rsid w:val="00F43D94"/>
    <w:rsid w:val="00F457F9"/>
    <w:rsid w:val="00F46EBE"/>
    <w:rsid w:val="00F47E24"/>
    <w:rsid w:val="00F517FA"/>
    <w:rsid w:val="00F5211C"/>
    <w:rsid w:val="00F534AA"/>
    <w:rsid w:val="00F5398E"/>
    <w:rsid w:val="00F546BD"/>
    <w:rsid w:val="00F54FC8"/>
    <w:rsid w:val="00F55661"/>
    <w:rsid w:val="00F56B01"/>
    <w:rsid w:val="00F57165"/>
    <w:rsid w:val="00F614EB"/>
    <w:rsid w:val="00F6160A"/>
    <w:rsid w:val="00F62798"/>
    <w:rsid w:val="00F632CE"/>
    <w:rsid w:val="00F6673E"/>
    <w:rsid w:val="00F67147"/>
    <w:rsid w:val="00F67161"/>
    <w:rsid w:val="00F674CD"/>
    <w:rsid w:val="00F723C9"/>
    <w:rsid w:val="00F72CAE"/>
    <w:rsid w:val="00F72CD1"/>
    <w:rsid w:val="00F734E4"/>
    <w:rsid w:val="00F75BD0"/>
    <w:rsid w:val="00F76775"/>
    <w:rsid w:val="00F768F1"/>
    <w:rsid w:val="00F77498"/>
    <w:rsid w:val="00F82B08"/>
    <w:rsid w:val="00F82E79"/>
    <w:rsid w:val="00F84BF2"/>
    <w:rsid w:val="00F87A01"/>
    <w:rsid w:val="00F91196"/>
    <w:rsid w:val="00F926DA"/>
    <w:rsid w:val="00F93018"/>
    <w:rsid w:val="00F93F85"/>
    <w:rsid w:val="00F9434F"/>
    <w:rsid w:val="00F94D38"/>
    <w:rsid w:val="00F95C25"/>
    <w:rsid w:val="00F97FF7"/>
    <w:rsid w:val="00FA03F2"/>
    <w:rsid w:val="00FA34E8"/>
    <w:rsid w:val="00FA5C10"/>
    <w:rsid w:val="00FA7A3B"/>
    <w:rsid w:val="00FB0888"/>
    <w:rsid w:val="00FB11B4"/>
    <w:rsid w:val="00FB1545"/>
    <w:rsid w:val="00FB2246"/>
    <w:rsid w:val="00FB293B"/>
    <w:rsid w:val="00FB3A84"/>
    <w:rsid w:val="00FB5F92"/>
    <w:rsid w:val="00FB6A4B"/>
    <w:rsid w:val="00FB6BF6"/>
    <w:rsid w:val="00FB7941"/>
    <w:rsid w:val="00FC0A13"/>
    <w:rsid w:val="00FC0BEB"/>
    <w:rsid w:val="00FC0E4C"/>
    <w:rsid w:val="00FC122F"/>
    <w:rsid w:val="00FC4A92"/>
    <w:rsid w:val="00FC4BAB"/>
    <w:rsid w:val="00FD17E8"/>
    <w:rsid w:val="00FD27A0"/>
    <w:rsid w:val="00FD3A2A"/>
    <w:rsid w:val="00FD3E0D"/>
    <w:rsid w:val="00FD3E9A"/>
    <w:rsid w:val="00FD7598"/>
    <w:rsid w:val="00FD75B7"/>
    <w:rsid w:val="00FE118B"/>
    <w:rsid w:val="00FE290C"/>
    <w:rsid w:val="00FE3007"/>
    <w:rsid w:val="00FE366E"/>
    <w:rsid w:val="00FE4DD3"/>
    <w:rsid w:val="00FE583F"/>
    <w:rsid w:val="00FE58F0"/>
    <w:rsid w:val="00FF03A1"/>
    <w:rsid w:val="00FF0A36"/>
    <w:rsid w:val="00FF1D98"/>
    <w:rsid w:val="00FF3A32"/>
    <w:rsid w:val="00FF5042"/>
    <w:rsid w:val="00FF55B8"/>
    <w:rsid w:val="3DAFB48A"/>
    <w:rsid w:val="4DB4EB5F"/>
    <w:rsid w:val="729DFD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0C47"/>
  <w15:docId w15:val="{2FC64C91-3BC1-483A-84DC-3F97C607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ADF"/>
    <w:pPr>
      <w:spacing w:after="240" w:line="240" w:lineRule="auto"/>
    </w:pPr>
    <w:rPr>
      <w:rFonts w:ascii="Arial" w:hAnsi="Arial"/>
      <w:sz w:val="24"/>
    </w:rPr>
  </w:style>
  <w:style w:type="paragraph" w:styleId="Heading1">
    <w:name w:val="heading 1"/>
    <w:basedOn w:val="Normal"/>
    <w:next w:val="Normal"/>
    <w:link w:val="Heading1Char"/>
    <w:uiPriority w:val="9"/>
    <w:qFormat/>
    <w:rsid w:val="008B29C3"/>
    <w:pPr>
      <w:keepNext/>
      <w:keepLines/>
      <w:spacing w:before="120" w:after="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56CF4"/>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56CF4"/>
    <w:pPr>
      <w:keepNext/>
      <w:keepLines/>
      <w:numPr>
        <w:numId w:val="1"/>
      </w:numPr>
      <w:spacing w:before="160"/>
      <w:outlineLvl w:val="2"/>
    </w:pPr>
    <w:rPr>
      <w:rFonts w:eastAsiaTheme="majorEastAsia" w:cstheme="majorBidi"/>
      <w:b/>
      <w:sz w:val="26"/>
      <w:szCs w:val="24"/>
    </w:rPr>
  </w:style>
  <w:style w:type="paragraph" w:styleId="Heading4">
    <w:name w:val="heading 4"/>
    <w:basedOn w:val="Heading3"/>
    <w:next w:val="Normal"/>
    <w:link w:val="Heading4Char"/>
    <w:uiPriority w:val="9"/>
    <w:unhideWhenUsed/>
    <w:qFormat/>
    <w:rsid w:val="00F546BD"/>
    <w:pPr>
      <w:numPr>
        <w:numId w:val="0"/>
      </w:numPr>
      <w:spacing w:before="0"/>
      <w:ind w:left="720"/>
      <w:outlineLvl w:val="3"/>
    </w:pPr>
    <w:rPr>
      <w:sz w:val="24"/>
    </w:rPr>
  </w:style>
  <w:style w:type="paragraph" w:styleId="Heading5">
    <w:name w:val="heading 5"/>
    <w:basedOn w:val="Heading3"/>
    <w:next w:val="Normal"/>
    <w:link w:val="Heading5Char"/>
    <w:uiPriority w:val="9"/>
    <w:unhideWhenUsed/>
    <w:qFormat/>
    <w:rsid w:val="007959A2"/>
    <w:pPr>
      <w:numPr>
        <w:numId w:val="0"/>
      </w:numPr>
      <w:ind w:left="360" w:hanging="360"/>
      <w:outlineLvl w:val="4"/>
    </w:pPr>
    <w:rPr>
      <w:sz w:val="24"/>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9C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56CF4"/>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056CF4"/>
    <w:rPr>
      <w:rFonts w:ascii="Arial" w:eastAsiaTheme="majorEastAsia" w:hAnsi="Arial" w:cstheme="majorBidi"/>
      <w:b/>
      <w:sz w:val="26"/>
      <w:szCs w:val="24"/>
    </w:rPr>
  </w:style>
  <w:style w:type="character" w:customStyle="1" w:styleId="Heading4Char">
    <w:name w:val="Heading 4 Char"/>
    <w:basedOn w:val="DefaultParagraphFont"/>
    <w:link w:val="Heading4"/>
    <w:uiPriority w:val="9"/>
    <w:rsid w:val="00F546BD"/>
    <w:rPr>
      <w:rFonts w:ascii="Arial" w:eastAsiaTheme="majorEastAsia" w:hAnsi="Arial" w:cstheme="majorBidi"/>
      <w:b/>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959A2"/>
    <w:rPr>
      <w:rFonts w:ascii="Arial" w:eastAsiaTheme="majorEastAsia" w:hAnsi="Arial" w:cstheme="majorBidi"/>
      <w:b/>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2D516C"/>
    <w:pPr>
      <w:tabs>
        <w:tab w:val="center" w:pos="4680"/>
        <w:tab w:val="right" w:pos="9360"/>
      </w:tabs>
      <w:spacing w:after="0"/>
    </w:pPr>
  </w:style>
  <w:style w:type="character" w:customStyle="1" w:styleId="HeaderChar">
    <w:name w:val="Header Char"/>
    <w:basedOn w:val="DefaultParagraphFont"/>
    <w:link w:val="Header"/>
    <w:uiPriority w:val="99"/>
    <w:rsid w:val="002D516C"/>
    <w:rPr>
      <w:rFonts w:ascii="Arial" w:hAnsi="Arial"/>
      <w:sz w:val="24"/>
    </w:rPr>
  </w:style>
  <w:style w:type="paragraph" w:styleId="Footer">
    <w:name w:val="footer"/>
    <w:basedOn w:val="Normal"/>
    <w:link w:val="FooterChar"/>
    <w:uiPriority w:val="99"/>
    <w:unhideWhenUsed/>
    <w:rsid w:val="002D516C"/>
    <w:pPr>
      <w:tabs>
        <w:tab w:val="center" w:pos="4680"/>
        <w:tab w:val="right" w:pos="9360"/>
      </w:tabs>
      <w:spacing w:after="0"/>
    </w:pPr>
  </w:style>
  <w:style w:type="character" w:customStyle="1" w:styleId="FooterChar">
    <w:name w:val="Footer Char"/>
    <w:basedOn w:val="DefaultParagraphFont"/>
    <w:link w:val="Footer"/>
    <w:uiPriority w:val="99"/>
    <w:rsid w:val="002D516C"/>
    <w:rPr>
      <w:rFonts w:ascii="Arial" w:hAnsi="Arial"/>
      <w:sz w:val="24"/>
    </w:rPr>
  </w:style>
  <w:style w:type="paragraph" w:styleId="BodyText">
    <w:name w:val="Body Text"/>
    <w:basedOn w:val="Normal"/>
    <w:link w:val="BodyTextChar"/>
    <w:uiPriority w:val="1"/>
    <w:qFormat/>
    <w:rsid w:val="00C530CD"/>
    <w:pPr>
      <w:widowControl w:val="0"/>
      <w:autoSpaceDE w:val="0"/>
      <w:autoSpaceDN w:val="0"/>
      <w:spacing w:after="0"/>
    </w:pPr>
    <w:rPr>
      <w:rFonts w:eastAsia="Arial" w:cs="Arial"/>
      <w:szCs w:val="24"/>
      <w:lang w:bidi="en-US"/>
    </w:rPr>
  </w:style>
  <w:style w:type="character" w:customStyle="1" w:styleId="BodyTextChar">
    <w:name w:val="Body Text Char"/>
    <w:basedOn w:val="DefaultParagraphFont"/>
    <w:link w:val="BodyText"/>
    <w:uiPriority w:val="1"/>
    <w:rsid w:val="00C530CD"/>
    <w:rPr>
      <w:rFonts w:ascii="Arial" w:eastAsia="Arial" w:hAnsi="Arial" w:cs="Arial"/>
      <w:sz w:val="24"/>
      <w:szCs w:val="24"/>
      <w:lang w:bidi="en-US"/>
    </w:rPr>
  </w:style>
  <w:style w:type="character" w:styleId="Hyperlink">
    <w:name w:val="Hyperlink"/>
    <w:basedOn w:val="DefaultParagraphFont"/>
    <w:uiPriority w:val="99"/>
    <w:unhideWhenUsed/>
    <w:rsid w:val="00EB23A9"/>
    <w:rPr>
      <w:color w:val="0000CC"/>
      <w:u w:val="single"/>
    </w:rPr>
  </w:style>
  <w:style w:type="paragraph" w:styleId="ListParagraph">
    <w:name w:val="List Paragraph"/>
    <w:aliases w:val="Indented Paragraph"/>
    <w:basedOn w:val="Normal"/>
    <w:link w:val="ListParagraphChar"/>
    <w:uiPriority w:val="1"/>
    <w:qFormat/>
    <w:rsid w:val="00BD3742"/>
    <w:pPr>
      <w:numPr>
        <w:numId w:val="15"/>
      </w:numPr>
    </w:pPr>
  </w:style>
  <w:style w:type="character" w:styleId="CommentReference">
    <w:name w:val="annotation reference"/>
    <w:basedOn w:val="DefaultParagraphFont"/>
    <w:uiPriority w:val="99"/>
    <w:semiHidden/>
    <w:unhideWhenUsed/>
    <w:rsid w:val="00580D60"/>
    <w:rPr>
      <w:sz w:val="16"/>
      <w:szCs w:val="16"/>
    </w:rPr>
  </w:style>
  <w:style w:type="paragraph" w:styleId="CommentText">
    <w:name w:val="annotation text"/>
    <w:basedOn w:val="Normal"/>
    <w:link w:val="CommentTextChar"/>
    <w:uiPriority w:val="99"/>
    <w:unhideWhenUsed/>
    <w:rsid w:val="004C4B3B"/>
    <w:pPr>
      <w:widowControl w:val="0"/>
      <w:autoSpaceDE w:val="0"/>
      <w:autoSpaceDN w:val="0"/>
      <w:spacing w:after="0"/>
    </w:pPr>
    <w:rPr>
      <w:rFonts w:eastAsia="Arial" w:cs="Arial"/>
      <w:sz w:val="20"/>
      <w:szCs w:val="20"/>
      <w:lang w:bidi="en-US"/>
    </w:rPr>
  </w:style>
  <w:style w:type="character" w:customStyle="1" w:styleId="CommentTextChar">
    <w:name w:val="Comment Text Char"/>
    <w:basedOn w:val="DefaultParagraphFont"/>
    <w:link w:val="CommentText"/>
    <w:uiPriority w:val="99"/>
    <w:rsid w:val="004C4B3B"/>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4C4B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3B"/>
    <w:rPr>
      <w:rFonts w:ascii="Segoe UI" w:hAnsi="Segoe UI" w:cs="Segoe UI"/>
      <w:sz w:val="18"/>
      <w:szCs w:val="18"/>
    </w:rPr>
  </w:style>
  <w:style w:type="table" w:customStyle="1" w:styleId="GridTable4-Accent61">
    <w:name w:val="Grid Table 4 - Accent 61"/>
    <w:basedOn w:val="TableNormal"/>
    <w:uiPriority w:val="49"/>
    <w:rsid w:val="009564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31">
    <w:name w:val="Grid Table 4 - Accent 31"/>
    <w:basedOn w:val="TableNormal"/>
    <w:uiPriority w:val="49"/>
    <w:rsid w:val="00533BE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533B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6A636A"/>
    <w:pPr>
      <w:spacing w:before="100" w:beforeAutospacing="1" w:after="100" w:afterAutospacing="1"/>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07720F"/>
    <w:pPr>
      <w:widowControl/>
      <w:autoSpaceDE/>
      <w:autoSpaceDN/>
      <w:spacing w:after="160"/>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07720F"/>
    <w:rPr>
      <w:rFonts w:ascii="Arial" w:eastAsia="Arial" w:hAnsi="Arial" w:cs="Arial"/>
      <w:b/>
      <w:bCs/>
      <w:sz w:val="20"/>
      <w:szCs w:val="20"/>
      <w:lang w:bidi="en-US"/>
    </w:rPr>
  </w:style>
  <w:style w:type="paragraph" w:customStyle="1" w:styleId="TableParagraph">
    <w:name w:val="Table Paragraph"/>
    <w:basedOn w:val="Normal"/>
    <w:uiPriority w:val="1"/>
    <w:qFormat/>
    <w:rsid w:val="00DB29FD"/>
    <w:pPr>
      <w:widowControl w:val="0"/>
      <w:autoSpaceDE w:val="0"/>
      <w:autoSpaceDN w:val="0"/>
      <w:spacing w:after="0" w:line="271" w:lineRule="exact"/>
      <w:ind w:left="107" w:right="240"/>
    </w:pPr>
    <w:rPr>
      <w:rFonts w:eastAsia="Arial" w:cs="Arial"/>
      <w:sz w:val="22"/>
      <w:lang w:bidi="en-US"/>
    </w:rPr>
  </w:style>
  <w:style w:type="paragraph" w:styleId="TOC2">
    <w:name w:val="toc 2"/>
    <w:basedOn w:val="Normal"/>
    <w:next w:val="Normal"/>
    <w:autoRedefine/>
    <w:uiPriority w:val="39"/>
    <w:unhideWhenUsed/>
    <w:rsid w:val="007A283B"/>
    <w:pPr>
      <w:tabs>
        <w:tab w:val="left" w:pos="360"/>
        <w:tab w:val="left" w:pos="1320"/>
        <w:tab w:val="right" w:leader="dot" w:pos="9350"/>
      </w:tabs>
      <w:spacing w:after="120"/>
      <w:ind w:left="900" w:hanging="360"/>
    </w:pPr>
    <w:rPr>
      <w:b/>
      <w:noProof/>
    </w:rPr>
  </w:style>
  <w:style w:type="paragraph" w:styleId="TOC1">
    <w:name w:val="toc 1"/>
    <w:basedOn w:val="Normal"/>
    <w:next w:val="Normal"/>
    <w:autoRedefine/>
    <w:uiPriority w:val="39"/>
    <w:unhideWhenUsed/>
    <w:rsid w:val="000F3A98"/>
    <w:pPr>
      <w:tabs>
        <w:tab w:val="left" w:pos="270"/>
        <w:tab w:val="right" w:leader="dot" w:pos="9350"/>
      </w:tabs>
      <w:spacing w:after="100"/>
    </w:pPr>
    <w:rPr>
      <w:b/>
      <w:noProof/>
    </w:rPr>
  </w:style>
  <w:style w:type="paragraph" w:styleId="TOC3">
    <w:name w:val="toc 3"/>
    <w:basedOn w:val="Normal"/>
    <w:next w:val="Normal"/>
    <w:autoRedefine/>
    <w:uiPriority w:val="39"/>
    <w:unhideWhenUsed/>
    <w:rsid w:val="00D70C61"/>
    <w:pPr>
      <w:tabs>
        <w:tab w:val="left" w:pos="1080"/>
        <w:tab w:val="left" w:pos="1260"/>
        <w:tab w:val="right" w:leader="dot" w:pos="9350"/>
      </w:tabs>
      <w:spacing w:after="100"/>
      <w:ind w:left="1080" w:hanging="360"/>
    </w:pPr>
    <w:rPr>
      <w:b/>
    </w:rPr>
  </w:style>
  <w:style w:type="paragraph" w:styleId="Caption">
    <w:name w:val="caption"/>
    <w:basedOn w:val="Normal"/>
    <w:next w:val="Normal"/>
    <w:qFormat/>
    <w:rsid w:val="00FF0A36"/>
    <w:pPr>
      <w:spacing w:before="120" w:after="120"/>
      <w:jc w:val="center"/>
    </w:pPr>
    <w:rPr>
      <w:rFonts w:eastAsia="Times New Roman" w:cs="Times New Roman"/>
      <w:b/>
      <w:bCs/>
      <w:sz w:val="22"/>
      <w:szCs w:val="24"/>
    </w:rPr>
  </w:style>
  <w:style w:type="character" w:styleId="FollowedHyperlink">
    <w:name w:val="FollowedHyperlink"/>
    <w:basedOn w:val="DefaultParagraphFont"/>
    <w:uiPriority w:val="99"/>
    <w:semiHidden/>
    <w:unhideWhenUsed/>
    <w:rsid w:val="00956A16"/>
    <w:rPr>
      <w:color w:val="954F72" w:themeColor="followedHyperlink"/>
      <w:u w:val="single"/>
    </w:rPr>
  </w:style>
  <w:style w:type="paragraph" w:styleId="FootnoteText">
    <w:name w:val="footnote text"/>
    <w:basedOn w:val="Normal"/>
    <w:link w:val="FootnoteTextChar"/>
    <w:uiPriority w:val="99"/>
    <w:semiHidden/>
    <w:unhideWhenUsed/>
    <w:rsid w:val="003C73D9"/>
    <w:pPr>
      <w:spacing w:after="0"/>
    </w:pPr>
    <w:rPr>
      <w:sz w:val="20"/>
      <w:szCs w:val="20"/>
    </w:rPr>
  </w:style>
  <w:style w:type="character" w:customStyle="1" w:styleId="FootnoteTextChar">
    <w:name w:val="Footnote Text Char"/>
    <w:basedOn w:val="DefaultParagraphFont"/>
    <w:link w:val="FootnoteText"/>
    <w:uiPriority w:val="99"/>
    <w:semiHidden/>
    <w:rsid w:val="003C73D9"/>
    <w:rPr>
      <w:rFonts w:ascii="Arial" w:hAnsi="Arial"/>
      <w:sz w:val="20"/>
      <w:szCs w:val="20"/>
    </w:rPr>
  </w:style>
  <w:style w:type="character" w:styleId="FootnoteReference">
    <w:name w:val="footnote reference"/>
    <w:basedOn w:val="DefaultParagraphFont"/>
    <w:uiPriority w:val="99"/>
    <w:semiHidden/>
    <w:unhideWhenUsed/>
    <w:rsid w:val="003C73D9"/>
    <w:rPr>
      <w:vertAlign w:val="superscript"/>
    </w:rPr>
  </w:style>
  <w:style w:type="table" w:styleId="TableGrid">
    <w:name w:val="Table Grid"/>
    <w:basedOn w:val="TableNormal"/>
    <w:uiPriority w:val="39"/>
    <w:rsid w:val="00E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33C3"/>
    <w:pPr>
      <w:spacing w:after="0" w:line="240" w:lineRule="auto"/>
    </w:pPr>
    <w:rPr>
      <w:rFonts w:ascii="Arial" w:hAnsi="Arial"/>
      <w:sz w:val="24"/>
    </w:rPr>
  </w:style>
  <w:style w:type="table" w:customStyle="1" w:styleId="PlainTable21">
    <w:name w:val="Plain Table 21"/>
    <w:basedOn w:val="TableNormal"/>
    <w:uiPriority w:val="99"/>
    <w:rsid w:val="00D250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5753C1"/>
    <w:rPr>
      <w:color w:val="605E5C"/>
      <w:shd w:val="clear" w:color="auto" w:fill="E1DFDD"/>
    </w:rPr>
  </w:style>
  <w:style w:type="paragraph" w:customStyle="1" w:styleId="Default">
    <w:name w:val="Default"/>
    <w:rsid w:val="0070560C"/>
    <w:pPr>
      <w:autoSpaceDE w:val="0"/>
      <w:autoSpaceDN w:val="0"/>
      <w:adjustRightInd w:val="0"/>
      <w:spacing w:after="0" w:line="240" w:lineRule="auto"/>
    </w:pPr>
    <w:rPr>
      <w:rFonts w:ascii="Arial" w:hAnsi="Arial" w:cs="Arial"/>
      <w:color w:val="000000"/>
      <w:sz w:val="24"/>
      <w:szCs w:val="24"/>
    </w:rPr>
  </w:style>
  <w:style w:type="character" w:customStyle="1" w:styleId="apple-tab-span">
    <w:name w:val="apple-tab-span"/>
    <w:basedOn w:val="DefaultParagraphFont"/>
    <w:rsid w:val="002E3E3E"/>
  </w:style>
  <w:style w:type="paragraph" w:styleId="BodyTextIndent3">
    <w:name w:val="Body Text Indent 3"/>
    <w:basedOn w:val="Normal"/>
    <w:link w:val="BodyTextIndent3Char"/>
    <w:uiPriority w:val="99"/>
    <w:unhideWhenUsed/>
    <w:rsid w:val="00F534AA"/>
    <w:pPr>
      <w:spacing w:after="120"/>
      <w:ind w:left="360"/>
    </w:pPr>
    <w:rPr>
      <w:sz w:val="16"/>
      <w:szCs w:val="16"/>
    </w:rPr>
  </w:style>
  <w:style w:type="character" w:customStyle="1" w:styleId="BodyTextIndent3Char">
    <w:name w:val="Body Text Indent 3 Char"/>
    <w:basedOn w:val="DefaultParagraphFont"/>
    <w:link w:val="BodyTextIndent3"/>
    <w:uiPriority w:val="99"/>
    <w:rsid w:val="00F534AA"/>
    <w:rPr>
      <w:rFonts w:ascii="Arial" w:hAnsi="Arial"/>
      <w:sz w:val="16"/>
      <w:szCs w:val="16"/>
    </w:rPr>
  </w:style>
  <w:style w:type="paragraph" w:styleId="EndnoteText">
    <w:name w:val="endnote text"/>
    <w:basedOn w:val="Normal"/>
    <w:link w:val="EndnoteTextChar"/>
    <w:semiHidden/>
    <w:rsid w:val="00935511"/>
    <w:pPr>
      <w:spacing w:after="0"/>
    </w:pPr>
    <w:rPr>
      <w:rFonts w:eastAsia="Times New Roman" w:cs="Times New Roman"/>
      <w:sz w:val="20"/>
      <w:szCs w:val="20"/>
    </w:rPr>
  </w:style>
  <w:style w:type="character" w:customStyle="1" w:styleId="EndnoteTextChar">
    <w:name w:val="Endnote Text Char"/>
    <w:basedOn w:val="DefaultParagraphFont"/>
    <w:link w:val="EndnoteText"/>
    <w:semiHidden/>
    <w:rsid w:val="00935511"/>
    <w:rPr>
      <w:rFonts w:ascii="Arial" w:eastAsia="Times New Roman" w:hAnsi="Arial" w:cs="Times New Roman"/>
      <w:sz w:val="20"/>
      <w:szCs w:val="20"/>
    </w:rPr>
  </w:style>
  <w:style w:type="character" w:styleId="EndnoteReference">
    <w:name w:val="endnote reference"/>
    <w:uiPriority w:val="99"/>
    <w:unhideWhenUsed/>
    <w:rsid w:val="00935511"/>
    <w:rPr>
      <w:vertAlign w:val="superscript"/>
    </w:rPr>
  </w:style>
  <w:style w:type="character" w:styleId="Emphasis">
    <w:name w:val="Emphasis"/>
    <w:basedOn w:val="DefaultParagraphFont"/>
    <w:uiPriority w:val="20"/>
    <w:qFormat/>
    <w:rsid w:val="00FF55B8"/>
    <w:rPr>
      <w:i/>
      <w:iCs/>
    </w:rPr>
  </w:style>
  <w:style w:type="paragraph" w:customStyle="1" w:styleId="Style1">
    <w:name w:val="Style1"/>
    <w:basedOn w:val="ListParagraph"/>
    <w:link w:val="Style1Char"/>
    <w:qFormat/>
    <w:rsid w:val="00E12CEE"/>
    <w:pPr>
      <w:numPr>
        <w:numId w:val="98"/>
      </w:numPr>
    </w:pPr>
  </w:style>
  <w:style w:type="character" w:customStyle="1" w:styleId="ListParagraphChar">
    <w:name w:val="List Paragraph Char"/>
    <w:aliases w:val="Indented Paragraph Char"/>
    <w:basedOn w:val="DefaultParagraphFont"/>
    <w:link w:val="ListParagraph"/>
    <w:uiPriority w:val="1"/>
    <w:rsid w:val="00E12CEE"/>
    <w:rPr>
      <w:rFonts w:ascii="Arial" w:hAnsi="Arial"/>
      <w:sz w:val="24"/>
    </w:rPr>
  </w:style>
  <w:style w:type="character" w:customStyle="1" w:styleId="Style1Char">
    <w:name w:val="Style1 Char"/>
    <w:basedOn w:val="ListParagraphChar"/>
    <w:link w:val="Style1"/>
    <w:rsid w:val="00E12CEE"/>
    <w:rPr>
      <w:rFonts w:ascii="Arial" w:hAnsi="Arial"/>
      <w:sz w:val="24"/>
    </w:rPr>
  </w:style>
  <w:style w:type="paragraph" w:styleId="TOCHeading">
    <w:name w:val="TOC Heading"/>
    <w:basedOn w:val="Heading1"/>
    <w:next w:val="Normal"/>
    <w:uiPriority w:val="39"/>
    <w:unhideWhenUsed/>
    <w:qFormat/>
    <w:rsid w:val="00B35714"/>
    <w:pPr>
      <w:spacing w:before="240" w:after="0" w:line="259" w:lineRule="auto"/>
      <w:jc w:val="left"/>
      <w:outlineLvl w:val="9"/>
    </w:pPr>
    <w:rPr>
      <w:rFonts w:asciiTheme="majorHAnsi" w:hAnsiTheme="majorHAnsi"/>
      <w:b w:val="0"/>
      <w:color w:val="2E74B5" w:themeColor="accent1" w:themeShade="BF"/>
    </w:rPr>
  </w:style>
  <w:style w:type="character" w:customStyle="1" w:styleId="normaltextrun">
    <w:name w:val="normaltextrun"/>
    <w:basedOn w:val="DefaultParagraphFont"/>
    <w:rsid w:val="00F95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604">
      <w:bodyDiv w:val="1"/>
      <w:marLeft w:val="0"/>
      <w:marRight w:val="0"/>
      <w:marTop w:val="0"/>
      <w:marBottom w:val="0"/>
      <w:divBdr>
        <w:top w:val="none" w:sz="0" w:space="0" w:color="auto"/>
        <w:left w:val="none" w:sz="0" w:space="0" w:color="auto"/>
        <w:bottom w:val="none" w:sz="0" w:space="0" w:color="auto"/>
        <w:right w:val="none" w:sz="0" w:space="0" w:color="auto"/>
      </w:divBdr>
    </w:div>
    <w:div w:id="16279051">
      <w:bodyDiv w:val="1"/>
      <w:marLeft w:val="0"/>
      <w:marRight w:val="0"/>
      <w:marTop w:val="0"/>
      <w:marBottom w:val="0"/>
      <w:divBdr>
        <w:top w:val="none" w:sz="0" w:space="0" w:color="auto"/>
        <w:left w:val="none" w:sz="0" w:space="0" w:color="auto"/>
        <w:bottom w:val="none" w:sz="0" w:space="0" w:color="auto"/>
        <w:right w:val="none" w:sz="0" w:space="0" w:color="auto"/>
      </w:divBdr>
    </w:div>
    <w:div w:id="31729594">
      <w:bodyDiv w:val="1"/>
      <w:marLeft w:val="0"/>
      <w:marRight w:val="0"/>
      <w:marTop w:val="0"/>
      <w:marBottom w:val="0"/>
      <w:divBdr>
        <w:top w:val="none" w:sz="0" w:space="0" w:color="auto"/>
        <w:left w:val="none" w:sz="0" w:space="0" w:color="auto"/>
        <w:bottom w:val="none" w:sz="0" w:space="0" w:color="auto"/>
        <w:right w:val="none" w:sz="0" w:space="0" w:color="auto"/>
      </w:divBdr>
    </w:div>
    <w:div w:id="104276996">
      <w:bodyDiv w:val="1"/>
      <w:marLeft w:val="0"/>
      <w:marRight w:val="0"/>
      <w:marTop w:val="0"/>
      <w:marBottom w:val="0"/>
      <w:divBdr>
        <w:top w:val="none" w:sz="0" w:space="0" w:color="auto"/>
        <w:left w:val="none" w:sz="0" w:space="0" w:color="auto"/>
        <w:bottom w:val="none" w:sz="0" w:space="0" w:color="auto"/>
        <w:right w:val="none" w:sz="0" w:space="0" w:color="auto"/>
      </w:divBdr>
    </w:div>
    <w:div w:id="183717791">
      <w:bodyDiv w:val="1"/>
      <w:marLeft w:val="0"/>
      <w:marRight w:val="0"/>
      <w:marTop w:val="0"/>
      <w:marBottom w:val="0"/>
      <w:divBdr>
        <w:top w:val="none" w:sz="0" w:space="0" w:color="auto"/>
        <w:left w:val="none" w:sz="0" w:space="0" w:color="auto"/>
        <w:bottom w:val="none" w:sz="0" w:space="0" w:color="auto"/>
        <w:right w:val="none" w:sz="0" w:space="0" w:color="auto"/>
      </w:divBdr>
    </w:div>
    <w:div w:id="213666086">
      <w:bodyDiv w:val="1"/>
      <w:marLeft w:val="0"/>
      <w:marRight w:val="0"/>
      <w:marTop w:val="0"/>
      <w:marBottom w:val="0"/>
      <w:divBdr>
        <w:top w:val="none" w:sz="0" w:space="0" w:color="auto"/>
        <w:left w:val="none" w:sz="0" w:space="0" w:color="auto"/>
        <w:bottom w:val="none" w:sz="0" w:space="0" w:color="auto"/>
        <w:right w:val="none" w:sz="0" w:space="0" w:color="auto"/>
      </w:divBdr>
    </w:div>
    <w:div w:id="347292073">
      <w:bodyDiv w:val="1"/>
      <w:marLeft w:val="0"/>
      <w:marRight w:val="0"/>
      <w:marTop w:val="0"/>
      <w:marBottom w:val="0"/>
      <w:divBdr>
        <w:top w:val="none" w:sz="0" w:space="0" w:color="auto"/>
        <w:left w:val="none" w:sz="0" w:space="0" w:color="auto"/>
        <w:bottom w:val="none" w:sz="0" w:space="0" w:color="auto"/>
        <w:right w:val="none" w:sz="0" w:space="0" w:color="auto"/>
      </w:divBdr>
    </w:div>
    <w:div w:id="360784535">
      <w:bodyDiv w:val="1"/>
      <w:marLeft w:val="0"/>
      <w:marRight w:val="0"/>
      <w:marTop w:val="0"/>
      <w:marBottom w:val="0"/>
      <w:divBdr>
        <w:top w:val="none" w:sz="0" w:space="0" w:color="auto"/>
        <w:left w:val="none" w:sz="0" w:space="0" w:color="auto"/>
        <w:bottom w:val="none" w:sz="0" w:space="0" w:color="auto"/>
        <w:right w:val="none" w:sz="0" w:space="0" w:color="auto"/>
      </w:divBdr>
    </w:div>
    <w:div w:id="385763951">
      <w:bodyDiv w:val="1"/>
      <w:marLeft w:val="0"/>
      <w:marRight w:val="0"/>
      <w:marTop w:val="0"/>
      <w:marBottom w:val="0"/>
      <w:divBdr>
        <w:top w:val="none" w:sz="0" w:space="0" w:color="auto"/>
        <w:left w:val="none" w:sz="0" w:space="0" w:color="auto"/>
        <w:bottom w:val="none" w:sz="0" w:space="0" w:color="auto"/>
        <w:right w:val="none" w:sz="0" w:space="0" w:color="auto"/>
      </w:divBdr>
    </w:div>
    <w:div w:id="391000059">
      <w:bodyDiv w:val="1"/>
      <w:marLeft w:val="0"/>
      <w:marRight w:val="0"/>
      <w:marTop w:val="0"/>
      <w:marBottom w:val="0"/>
      <w:divBdr>
        <w:top w:val="none" w:sz="0" w:space="0" w:color="auto"/>
        <w:left w:val="none" w:sz="0" w:space="0" w:color="auto"/>
        <w:bottom w:val="none" w:sz="0" w:space="0" w:color="auto"/>
        <w:right w:val="none" w:sz="0" w:space="0" w:color="auto"/>
      </w:divBdr>
    </w:div>
    <w:div w:id="453255737">
      <w:bodyDiv w:val="1"/>
      <w:marLeft w:val="0"/>
      <w:marRight w:val="0"/>
      <w:marTop w:val="0"/>
      <w:marBottom w:val="0"/>
      <w:divBdr>
        <w:top w:val="none" w:sz="0" w:space="0" w:color="auto"/>
        <w:left w:val="none" w:sz="0" w:space="0" w:color="auto"/>
        <w:bottom w:val="none" w:sz="0" w:space="0" w:color="auto"/>
        <w:right w:val="none" w:sz="0" w:space="0" w:color="auto"/>
      </w:divBdr>
    </w:div>
    <w:div w:id="463929627">
      <w:bodyDiv w:val="1"/>
      <w:marLeft w:val="0"/>
      <w:marRight w:val="0"/>
      <w:marTop w:val="0"/>
      <w:marBottom w:val="0"/>
      <w:divBdr>
        <w:top w:val="none" w:sz="0" w:space="0" w:color="auto"/>
        <w:left w:val="none" w:sz="0" w:space="0" w:color="auto"/>
        <w:bottom w:val="none" w:sz="0" w:space="0" w:color="auto"/>
        <w:right w:val="none" w:sz="0" w:space="0" w:color="auto"/>
      </w:divBdr>
    </w:div>
    <w:div w:id="479462160">
      <w:bodyDiv w:val="1"/>
      <w:marLeft w:val="0"/>
      <w:marRight w:val="0"/>
      <w:marTop w:val="0"/>
      <w:marBottom w:val="0"/>
      <w:divBdr>
        <w:top w:val="none" w:sz="0" w:space="0" w:color="auto"/>
        <w:left w:val="none" w:sz="0" w:space="0" w:color="auto"/>
        <w:bottom w:val="none" w:sz="0" w:space="0" w:color="auto"/>
        <w:right w:val="none" w:sz="0" w:space="0" w:color="auto"/>
      </w:divBdr>
    </w:div>
    <w:div w:id="488520371">
      <w:bodyDiv w:val="1"/>
      <w:marLeft w:val="0"/>
      <w:marRight w:val="0"/>
      <w:marTop w:val="0"/>
      <w:marBottom w:val="0"/>
      <w:divBdr>
        <w:top w:val="none" w:sz="0" w:space="0" w:color="auto"/>
        <w:left w:val="none" w:sz="0" w:space="0" w:color="auto"/>
        <w:bottom w:val="none" w:sz="0" w:space="0" w:color="auto"/>
        <w:right w:val="none" w:sz="0" w:space="0" w:color="auto"/>
      </w:divBdr>
    </w:div>
    <w:div w:id="492453198">
      <w:bodyDiv w:val="1"/>
      <w:marLeft w:val="0"/>
      <w:marRight w:val="0"/>
      <w:marTop w:val="0"/>
      <w:marBottom w:val="0"/>
      <w:divBdr>
        <w:top w:val="none" w:sz="0" w:space="0" w:color="auto"/>
        <w:left w:val="none" w:sz="0" w:space="0" w:color="auto"/>
        <w:bottom w:val="none" w:sz="0" w:space="0" w:color="auto"/>
        <w:right w:val="none" w:sz="0" w:space="0" w:color="auto"/>
      </w:divBdr>
    </w:div>
    <w:div w:id="530076893">
      <w:bodyDiv w:val="1"/>
      <w:marLeft w:val="0"/>
      <w:marRight w:val="0"/>
      <w:marTop w:val="0"/>
      <w:marBottom w:val="0"/>
      <w:divBdr>
        <w:top w:val="none" w:sz="0" w:space="0" w:color="auto"/>
        <w:left w:val="none" w:sz="0" w:space="0" w:color="auto"/>
        <w:bottom w:val="none" w:sz="0" w:space="0" w:color="auto"/>
        <w:right w:val="none" w:sz="0" w:space="0" w:color="auto"/>
      </w:divBdr>
    </w:div>
    <w:div w:id="612515360">
      <w:bodyDiv w:val="1"/>
      <w:marLeft w:val="0"/>
      <w:marRight w:val="0"/>
      <w:marTop w:val="0"/>
      <w:marBottom w:val="0"/>
      <w:divBdr>
        <w:top w:val="none" w:sz="0" w:space="0" w:color="auto"/>
        <w:left w:val="none" w:sz="0" w:space="0" w:color="auto"/>
        <w:bottom w:val="none" w:sz="0" w:space="0" w:color="auto"/>
        <w:right w:val="none" w:sz="0" w:space="0" w:color="auto"/>
      </w:divBdr>
    </w:div>
    <w:div w:id="614680965">
      <w:bodyDiv w:val="1"/>
      <w:marLeft w:val="0"/>
      <w:marRight w:val="0"/>
      <w:marTop w:val="0"/>
      <w:marBottom w:val="0"/>
      <w:divBdr>
        <w:top w:val="none" w:sz="0" w:space="0" w:color="auto"/>
        <w:left w:val="none" w:sz="0" w:space="0" w:color="auto"/>
        <w:bottom w:val="none" w:sz="0" w:space="0" w:color="auto"/>
        <w:right w:val="none" w:sz="0" w:space="0" w:color="auto"/>
      </w:divBdr>
    </w:div>
    <w:div w:id="631251363">
      <w:bodyDiv w:val="1"/>
      <w:marLeft w:val="0"/>
      <w:marRight w:val="0"/>
      <w:marTop w:val="0"/>
      <w:marBottom w:val="0"/>
      <w:divBdr>
        <w:top w:val="none" w:sz="0" w:space="0" w:color="auto"/>
        <w:left w:val="none" w:sz="0" w:space="0" w:color="auto"/>
        <w:bottom w:val="none" w:sz="0" w:space="0" w:color="auto"/>
        <w:right w:val="none" w:sz="0" w:space="0" w:color="auto"/>
      </w:divBdr>
    </w:div>
    <w:div w:id="633222501">
      <w:bodyDiv w:val="1"/>
      <w:marLeft w:val="0"/>
      <w:marRight w:val="0"/>
      <w:marTop w:val="0"/>
      <w:marBottom w:val="0"/>
      <w:divBdr>
        <w:top w:val="none" w:sz="0" w:space="0" w:color="auto"/>
        <w:left w:val="none" w:sz="0" w:space="0" w:color="auto"/>
        <w:bottom w:val="none" w:sz="0" w:space="0" w:color="auto"/>
        <w:right w:val="none" w:sz="0" w:space="0" w:color="auto"/>
      </w:divBdr>
    </w:div>
    <w:div w:id="641735504">
      <w:bodyDiv w:val="1"/>
      <w:marLeft w:val="0"/>
      <w:marRight w:val="0"/>
      <w:marTop w:val="0"/>
      <w:marBottom w:val="0"/>
      <w:divBdr>
        <w:top w:val="none" w:sz="0" w:space="0" w:color="auto"/>
        <w:left w:val="none" w:sz="0" w:space="0" w:color="auto"/>
        <w:bottom w:val="none" w:sz="0" w:space="0" w:color="auto"/>
        <w:right w:val="none" w:sz="0" w:space="0" w:color="auto"/>
      </w:divBdr>
    </w:div>
    <w:div w:id="651830966">
      <w:bodyDiv w:val="1"/>
      <w:marLeft w:val="0"/>
      <w:marRight w:val="0"/>
      <w:marTop w:val="0"/>
      <w:marBottom w:val="0"/>
      <w:divBdr>
        <w:top w:val="none" w:sz="0" w:space="0" w:color="auto"/>
        <w:left w:val="none" w:sz="0" w:space="0" w:color="auto"/>
        <w:bottom w:val="none" w:sz="0" w:space="0" w:color="auto"/>
        <w:right w:val="none" w:sz="0" w:space="0" w:color="auto"/>
      </w:divBdr>
    </w:div>
    <w:div w:id="658075380">
      <w:bodyDiv w:val="1"/>
      <w:marLeft w:val="0"/>
      <w:marRight w:val="0"/>
      <w:marTop w:val="0"/>
      <w:marBottom w:val="0"/>
      <w:divBdr>
        <w:top w:val="none" w:sz="0" w:space="0" w:color="auto"/>
        <w:left w:val="none" w:sz="0" w:space="0" w:color="auto"/>
        <w:bottom w:val="none" w:sz="0" w:space="0" w:color="auto"/>
        <w:right w:val="none" w:sz="0" w:space="0" w:color="auto"/>
      </w:divBdr>
    </w:div>
    <w:div w:id="691734877">
      <w:bodyDiv w:val="1"/>
      <w:marLeft w:val="0"/>
      <w:marRight w:val="0"/>
      <w:marTop w:val="0"/>
      <w:marBottom w:val="0"/>
      <w:divBdr>
        <w:top w:val="none" w:sz="0" w:space="0" w:color="auto"/>
        <w:left w:val="none" w:sz="0" w:space="0" w:color="auto"/>
        <w:bottom w:val="none" w:sz="0" w:space="0" w:color="auto"/>
        <w:right w:val="none" w:sz="0" w:space="0" w:color="auto"/>
      </w:divBdr>
    </w:div>
    <w:div w:id="722027628">
      <w:bodyDiv w:val="1"/>
      <w:marLeft w:val="0"/>
      <w:marRight w:val="0"/>
      <w:marTop w:val="0"/>
      <w:marBottom w:val="0"/>
      <w:divBdr>
        <w:top w:val="none" w:sz="0" w:space="0" w:color="auto"/>
        <w:left w:val="none" w:sz="0" w:space="0" w:color="auto"/>
        <w:bottom w:val="none" w:sz="0" w:space="0" w:color="auto"/>
        <w:right w:val="none" w:sz="0" w:space="0" w:color="auto"/>
      </w:divBdr>
    </w:div>
    <w:div w:id="743063406">
      <w:bodyDiv w:val="1"/>
      <w:marLeft w:val="0"/>
      <w:marRight w:val="0"/>
      <w:marTop w:val="0"/>
      <w:marBottom w:val="0"/>
      <w:divBdr>
        <w:top w:val="none" w:sz="0" w:space="0" w:color="auto"/>
        <w:left w:val="none" w:sz="0" w:space="0" w:color="auto"/>
        <w:bottom w:val="none" w:sz="0" w:space="0" w:color="auto"/>
        <w:right w:val="none" w:sz="0" w:space="0" w:color="auto"/>
      </w:divBdr>
    </w:div>
    <w:div w:id="758408618">
      <w:bodyDiv w:val="1"/>
      <w:marLeft w:val="0"/>
      <w:marRight w:val="0"/>
      <w:marTop w:val="0"/>
      <w:marBottom w:val="0"/>
      <w:divBdr>
        <w:top w:val="none" w:sz="0" w:space="0" w:color="auto"/>
        <w:left w:val="none" w:sz="0" w:space="0" w:color="auto"/>
        <w:bottom w:val="none" w:sz="0" w:space="0" w:color="auto"/>
        <w:right w:val="none" w:sz="0" w:space="0" w:color="auto"/>
      </w:divBdr>
    </w:div>
    <w:div w:id="761879719">
      <w:bodyDiv w:val="1"/>
      <w:marLeft w:val="0"/>
      <w:marRight w:val="0"/>
      <w:marTop w:val="0"/>
      <w:marBottom w:val="0"/>
      <w:divBdr>
        <w:top w:val="none" w:sz="0" w:space="0" w:color="auto"/>
        <w:left w:val="none" w:sz="0" w:space="0" w:color="auto"/>
        <w:bottom w:val="none" w:sz="0" w:space="0" w:color="auto"/>
        <w:right w:val="none" w:sz="0" w:space="0" w:color="auto"/>
      </w:divBdr>
    </w:div>
    <w:div w:id="844132046">
      <w:bodyDiv w:val="1"/>
      <w:marLeft w:val="0"/>
      <w:marRight w:val="0"/>
      <w:marTop w:val="0"/>
      <w:marBottom w:val="0"/>
      <w:divBdr>
        <w:top w:val="none" w:sz="0" w:space="0" w:color="auto"/>
        <w:left w:val="none" w:sz="0" w:space="0" w:color="auto"/>
        <w:bottom w:val="none" w:sz="0" w:space="0" w:color="auto"/>
        <w:right w:val="none" w:sz="0" w:space="0" w:color="auto"/>
      </w:divBdr>
    </w:div>
    <w:div w:id="886918244">
      <w:bodyDiv w:val="1"/>
      <w:marLeft w:val="0"/>
      <w:marRight w:val="0"/>
      <w:marTop w:val="0"/>
      <w:marBottom w:val="0"/>
      <w:divBdr>
        <w:top w:val="none" w:sz="0" w:space="0" w:color="auto"/>
        <w:left w:val="none" w:sz="0" w:space="0" w:color="auto"/>
        <w:bottom w:val="none" w:sz="0" w:space="0" w:color="auto"/>
        <w:right w:val="none" w:sz="0" w:space="0" w:color="auto"/>
      </w:divBdr>
    </w:div>
    <w:div w:id="980498077">
      <w:bodyDiv w:val="1"/>
      <w:marLeft w:val="0"/>
      <w:marRight w:val="0"/>
      <w:marTop w:val="0"/>
      <w:marBottom w:val="0"/>
      <w:divBdr>
        <w:top w:val="none" w:sz="0" w:space="0" w:color="auto"/>
        <w:left w:val="none" w:sz="0" w:space="0" w:color="auto"/>
        <w:bottom w:val="none" w:sz="0" w:space="0" w:color="auto"/>
        <w:right w:val="none" w:sz="0" w:space="0" w:color="auto"/>
      </w:divBdr>
    </w:div>
    <w:div w:id="1092899754">
      <w:bodyDiv w:val="1"/>
      <w:marLeft w:val="0"/>
      <w:marRight w:val="0"/>
      <w:marTop w:val="0"/>
      <w:marBottom w:val="0"/>
      <w:divBdr>
        <w:top w:val="none" w:sz="0" w:space="0" w:color="auto"/>
        <w:left w:val="none" w:sz="0" w:space="0" w:color="auto"/>
        <w:bottom w:val="none" w:sz="0" w:space="0" w:color="auto"/>
        <w:right w:val="none" w:sz="0" w:space="0" w:color="auto"/>
      </w:divBdr>
    </w:div>
    <w:div w:id="1097823873">
      <w:bodyDiv w:val="1"/>
      <w:marLeft w:val="0"/>
      <w:marRight w:val="0"/>
      <w:marTop w:val="0"/>
      <w:marBottom w:val="0"/>
      <w:divBdr>
        <w:top w:val="none" w:sz="0" w:space="0" w:color="auto"/>
        <w:left w:val="none" w:sz="0" w:space="0" w:color="auto"/>
        <w:bottom w:val="none" w:sz="0" w:space="0" w:color="auto"/>
        <w:right w:val="none" w:sz="0" w:space="0" w:color="auto"/>
      </w:divBdr>
    </w:div>
    <w:div w:id="1139348115">
      <w:bodyDiv w:val="1"/>
      <w:marLeft w:val="0"/>
      <w:marRight w:val="0"/>
      <w:marTop w:val="0"/>
      <w:marBottom w:val="0"/>
      <w:divBdr>
        <w:top w:val="none" w:sz="0" w:space="0" w:color="auto"/>
        <w:left w:val="none" w:sz="0" w:space="0" w:color="auto"/>
        <w:bottom w:val="none" w:sz="0" w:space="0" w:color="auto"/>
        <w:right w:val="none" w:sz="0" w:space="0" w:color="auto"/>
      </w:divBdr>
    </w:div>
    <w:div w:id="1239898384">
      <w:bodyDiv w:val="1"/>
      <w:marLeft w:val="0"/>
      <w:marRight w:val="0"/>
      <w:marTop w:val="0"/>
      <w:marBottom w:val="0"/>
      <w:divBdr>
        <w:top w:val="none" w:sz="0" w:space="0" w:color="auto"/>
        <w:left w:val="none" w:sz="0" w:space="0" w:color="auto"/>
        <w:bottom w:val="none" w:sz="0" w:space="0" w:color="auto"/>
        <w:right w:val="none" w:sz="0" w:space="0" w:color="auto"/>
      </w:divBdr>
    </w:div>
    <w:div w:id="1296178216">
      <w:bodyDiv w:val="1"/>
      <w:marLeft w:val="0"/>
      <w:marRight w:val="0"/>
      <w:marTop w:val="0"/>
      <w:marBottom w:val="0"/>
      <w:divBdr>
        <w:top w:val="none" w:sz="0" w:space="0" w:color="auto"/>
        <w:left w:val="none" w:sz="0" w:space="0" w:color="auto"/>
        <w:bottom w:val="none" w:sz="0" w:space="0" w:color="auto"/>
        <w:right w:val="none" w:sz="0" w:space="0" w:color="auto"/>
      </w:divBdr>
    </w:div>
    <w:div w:id="1349523541">
      <w:bodyDiv w:val="1"/>
      <w:marLeft w:val="0"/>
      <w:marRight w:val="0"/>
      <w:marTop w:val="0"/>
      <w:marBottom w:val="0"/>
      <w:divBdr>
        <w:top w:val="none" w:sz="0" w:space="0" w:color="auto"/>
        <w:left w:val="none" w:sz="0" w:space="0" w:color="auto"/>
        <w:bottom w:val="none" w:sz="0" w:space="0" w:color="auto"/>
        <w:right w:val="none" w:sz="0" w:space="0" w:color="auto"/>
      </w:divBdr>
    </w:div>
    <w:div w:id="1365520557">
      <w:bodyDiv w:val="1"/>
      <w:marLeft w:val="0"/>
      <w:marRight w:val="0"/>
      <w:marTop w:val="0"/>
      <w:marBottom w:val="0"/>
      <w:divBdr>
        <w:top w:val="none" w:sz="0" w:space="0" w:color="auto"/>
        <w:left w:val="none" w:sz="0" w:space="0" w:color="auto"/>
        <w:bottom w:val="none" w:sz="0" w:space="0" w:color="auto"/>
        <w:right w:val="none" w:sz="0" w:space="0" w:color="auto"/>
      </w:divBdr>
    </w:div>
    <w:div w:id="1376612484">
      <w:bodyDiv w:val="1"/>
      <w:marLeft w:val="0"/>
      <w:marRight w:val="0"/>
      <w:marTop w:val="0"/>
      <w:marBottom w:val="0"/>
      <w:divBdr>
        <w:top w:val="none" w:sz="0" w:space="0" w:color="auto"/>
        <w:left w:val="none" w:sz="0" w:space="0" w:color="auto"/>
        <w:bottom w:val="none" w:sz="0" w:space="0" w:color="auto"/>
        <w:right w:val="none" w:sz="0" w:space="0" w:color="auto"/>
      </w:divBdr>
    </w:div>
    <w:div w:id="1383481867">
      <w:bodyDiv w:val="1"/>
      <w:marLeft w:val="0"/>
      <w:marRight w:val="0"/>
      <w:marTop w:val="0"/>
      <w:marBottom w:val="0"/>
      <w:divBdr>
        <w:top w:val="none" w:sz="0" w:space="0" w:color="auto"/>
        <w:left w:val="none" w:sz="0" w:space="0" w:color="auto"/>
        <w:bottom w:val="none" w:sz="0" w:space="0" w:color="auto"/>
        <w:right w:val="none" w:sz="0" w:space="0" w:color="auto"/>
      </w:divBdr>
    </w:div>
    <w:div w:id="1460876617">
      <w:bodyDiv w:val="1"/>
      <w:marLeft w:val="0"/>
      <w:marRight w:val="0"/>
      <w:marTop w:val="0"/>
      <w:marBottom w:val="0"/>
      <w:divBdr>
        <w:top w:val="none" w:sz="0" w:space="0" w:color="auto"/>
        <w:left w:val="none" w:sz="0" w:space="0" w:color="auto"/>
        <w:bottom w:val="none" w:sz="0" w:space="0" w:color="auto"/>
        <w:right w:val="none" w:sz="0" w:space="0" w:color="auto"/>
      </w:divBdr>
    </w:div>
    <w:div w:id="1464887431">
      <w:bodyDiv w:val="1"/>
      <w:marLeft w:val="0"/>
      <w:marRight w:val="0"/>
      <w:marTop w:val="0"/>
      <w:marBottom w:val="0"/>
      <w:divBdr>
        <w:top w:val="none" w:sz="0" w:space="0" w:color="auto"/>
        <w:left w:val="none" w:sz="0" w:space="0" w:color="auto"/>
        <w:bottom w:val="none" w:sz="0" w:space="0" w:color="auto"/>
        <w:right w:val="none" w:sz="0" w:space="0" w:color="auto"/>
      </w:divBdr>
    </w:div>
    <w:div w:id="1465469496">
      <w:bodyDiv w:val="1"/>
      <w:marLeft w:val="0"/>
      <w:marRight w:val="0"/>
      <w:marTop w:val="0"/>
      <w:marBottom w:val="0"/>
      <w:divBdr>
        <w:top w:val="none" w:sz="0" w:space="0" w:color="auto"/>
        <w:left w:val="none" w:sz="0" w:space="0" w:color="auto"/>
        <w:bottom w:val="none" w:sz="0" w:space="0" w:color="auto"/>
        <w:right w:val="none" w:sz="0" w:space="0" w:color="auto"/>
      </w:divBdr>
    </w:div>
    <w:div w:id="1499419937">
      <w:bodyDiv w:val="1"/>
      <w:marLeft w:val="0"/>
      <w:marRight w:val="0"/>
      <w:marTop w:val="0"/>
      <w:marBottom w:val="0"/>
      <w:divBdr>
        <w:top w:val="none" w:sz="0" w:space="0" w:color="auto"/>
        <w:left w:val="none" w:sz="0" w:space="0" w:color="auto"/>
        <w:bottom w:val="none" w:sz="0" w:space="0" w:color="auto"/>
        <w:right w:val="none" w:sz="0" w:space="0" w:color="auto"/>
      </w:divBdr>
    </w:div>
    <w:div w:id="1522818229">
      <w:bodyDiv w:val="1"/>
      <w:marLeft w:val="0"/>
      <w:marRight w:val="0"/>
      <w:marTop w:val="0"/>
      <w:marBottom w:val="0"/>
      <w:divBdr>
        <w:top w:val="none" w:sz="0" w:space="0" w:color="auto"/>
        <w:left w:val="none" w:sz="0" w:space="0" w:color="auto"/>
        <w:bottom w:val="none" w:sz="0" w:space="0" w:color="auto"/>
        <w:right w:val="none" w:sz="0" w:space="0" w:color="auto"/>
      </w:divBdr>
    </w:div>
    <w:div w:id="1527449396">
      <w:bodyDiv w:val="1"/>
      <w:marLeft w:val="0"/>
      <w:marRight w:val="0"/>
      <w:marTop w:val="0"/>
      <w:marBottom w:val="0"/>
      <w:divBdr>
        <w:top w:val="none" w:sz="0" w:space="0" w:color="auto"/>
        <w:left w:val="none" w:sz="0" w:space="0" w:color="auto"/>
        <w:bottom w:val="none" w:sz="0" w:space="0" w:color="auto"/>
        <w:right w:val="none" w:sz="0" w:space="0" w:color="auto"/>
      </w:divBdr>
    </w:div>
    <w:div w:id="1527870419">
      <w:bodyDiv w:val="1"/>
      <w:marLeft w:val="0"/>
      <w:marRight w:val="0"/>
      <w:marTop w:val="0"/>
      <w:marBottom w:val="0"/>
      <w:divBdr>
        <w:top w:val="none" w:sz="0" w:space="0" w:color="auto"/>
        <w:left w:val="none" w:sz="0" w:space="0" w:color="auto"/>
        <w:bottom w:val="none" w:sz="0" w:space="0" w:color="auto"/>
        <w:right w:val="none" w:sz="0" w:space="0" w:color="auto"/>
      </w:divBdr>
    </w:div>
    <w:div w:id="1574392826">
      <w:bodyDiv w:val="1"/>
      <w:marLeft w:val="0"/>
      <w:marRight w:val="0"/>
      <w:marTop w:val="0"/>
      <w:marBottom w:val="0"/>
      <w:divBdr>
        <w:top w:val="none" w:sz="0" w:space="0" w:color="auto"/>
        <w:left w:val="none" w:sz="0" w:space="0" w:color="auto"/>
        <w:bottom w:val="none" w:sz="0" w:space="0" w:color="auto"/>
        <w:right w:val="none" w:sz="0" w:space="0" w:color="auto"/>
      </w:divBdr>
    </w:div>
    <w:div w:id="1588883428">
      <w:bodyDiv w:val="1"/>
      <w:marLeft w:val="0"/>
      <w:marRight w:val="0"/>
      <w:marTop w:val="0"/>
      <w:marBottom w:val="0"/>
      <w:divBdr>
        <w:top w:val="none" w:sz="0" w:space="0" w:color="auto"/>
        <w:left w:val="none" w:sz="0" w:space="0" w:color="auto"/>
        <w:bottom w:val="none" w:sz="0" w:space="0" w:color="auto"/>
        <w:right w:val="none" w:sz="0" w:space="0" w:color="auto"/>
      </w:divBdr>
    </w:div>
    <w:div w:id="1649358079">
      <w:bodyDiv w:val="1"/>
      <w:marLeft w:val="0"/>
      <w:marRight w:val="0"/>
      <w:marTop w:val="0"/>
      <w:marBottom w:val="0"/>
      <w:divBdr>
        <w:top w:val="none" w:sz="0" w:space="0" w:color="auto"/>
        <w:left w:val="none" w:sz="0" w:space="0" w:color="auto"/>
        <w:bottom w:val="none" w:sz="0" w:space="0" w:color="auto"/>
        <w:right w:val="none" w:sz="0" w:space="0" w:color="auto"/>
      </w:divBdr>
    </w:div>
    <w:div w:id="1661690582">
      <w:bodyDiv w:val="1"/>
      <w:marLeft w:val="0"/>
      <w:marRight w:val="0"/>
      <w:marTop w:val="0"/>
      <w:marBottom w:val="0"/>
      <w:divBdr>
        <w:top w:val="none" w:sz="0" w:space="0" w:color="auto"/>
        <w:left w:val="none" w:sz="0" w:space="0" w:color="auto"/>
        <w:bottom w:val="none" w:sz="0" w:space="0" w:color="auto"/>
        <w:right w:val="none" w:sz="0" w:space="0" w:color="auto"/>
      </w:divBdr>
    </w:div>
    <w:div w:id="1734310360">
      <w:bodyDiv w:val="1"/>
      <w:marLeft w:val="0"/>
      <w:marRight w:val="0"/>
      <w:marTop w:val="0"/>
      <w:marBottom w:val="0"/>
      <w:divBdr>
        <w:top w:val="none" w:sz="0" w:space="0" w:color="auto"/>
        <w:left w:val="none" w:sz="0" w:space="0" w:color="auto"/>
        <w:bottom w:val="none" w:sz="0" w:space="0" w:color="auto"/>
        <w:right w:val="none" w:sz="0" w:space="0" w:color="auto"/>
      </w:divBdr>
    </w:div>
    <w:div w:id="1761753882">
      <w:bodyDiv w:val="1"/>
      <w:marLeft w:val="0"/>
      <w:marRight w:val="0"/>
      <w:marTop w:val="0"/>
      <w:marBottom w:val="0"/>
      <w:divBdr>
        <w:top w:val="none" w:sz="0" w:space="0" w:color="auto"/>
        <w:left w:val="none" w:sz="0" w:space="0" w:color="auto"/>
        <w:bottom w:val="none" w:sz="0" w:space="0" w:color="auto"/>
        <w:right w:val="none" w:sz="0" w:space="0" w:color="auto"/>
      </w:divBdr>
    </w:div>
    <w:div w:id="1816990646">
      <w:bodyDiv w:val="1"/>
      <w:marLeft w:val="0"/>
      <w:marRight w:val="0"/>
      <w:marTop w:val="0"/>
      <w:marBottom w:val="0"/>
      <w:divBdr>
        <w:top w:val="none" w:sz="0" w:space="0" w:color="auto"/>
        <w:left w:val="none" w:sz="0" w:space="0" w:color="auto"/>
        <w:bottom w:val="none" w:sz="0" w:space="0" w:color="auto"/>
        <w:right w:val="none" w:sz="0" w:space="0" w:color="auto"/>
      </w:divBdr>
    </w:div>
    <w:div w:id="1824353318">
      <w:bodyDiv w:val="1"/>
      <w:marLeft w:val="0"/>
      <w:marRight w:val="0"/>
      <w:marTop w:val="0"/>
      <w:marBottom w:val="0"/>
      <w:divBdr>
        <w:top w:val="none" w:sz="0" w:space="0" w:color="auto"/>
        <w:left w:val="none" w:sz="0" w:space="0" w:color="auto"/>
        <w:bottom w:val="none" w:sz="0" w:space="0" w:color="auto"/>
        <w:right w:val="none" w:sz="0" w:space="0" w:color="auto"/>
      </w:divBdr>
    </w:div>
    <w:div w:id="1911845845">
      <w:bodyDiv w:val="1"/>
      <w:marLeft w:val="0"/>
      <w:marRight w:val="0"/>
      <w:marTop w:val="0"/>
      <w:marBottom w:val="0"/>
      <w:divBdr>
        <w:top w:val="none" w:sz="0" w:space="0" w:color="auto"/>
        <w:left w:val="none" w:sz="0" w:space="0" w:color="auto"/>
        <w:bottom w:val="none" w:sz="0" w:space="0" w:color="auto"/>
        <w:right w:val="none" w:sz="0" w:space="0" w:color="auto"/>
      </w:divBdr>
    </w:div>
    <w:div w:id="1930846820">
      <w:bodyDiv w:val="1"/>
      <w:marLeft w:val="0"/>
      <w:marRight w:val="0"/>
      <w:marTop w:val="0"/>
      <w:marBottom w:val="0"/>
      <w:divBdr>
        <w:top w:val="none" w:sz="0" w:space="0" w:color="auto"/>
        <w:left w:val="none" w:sz="0" w:space="0" w:color="auto"/>
        <w:bottom w:val="none" w:sz="0" w:space="0" w:color="auto"/>
        <w:right w:val="none" w:sz="0" w:space="0" w:color="auto"/>
      </w:divBdr>
    </w:div>
    <w:div w:id="1935900058">
      <w:bodyDiv w:val="1"/>
      <w:marLeft w:val="0"/>
      <w:marRight w:val="0"/>
      <w:marTop w:val="0"/>
      <w:marBottom w:val="0"/>
      <w:divBdr>
        <w:top w:val="none" w:sz="0" w:space="0" w:color="auto"/>
        <w:left w:val="none" w:sz="0" w:space="0" w:color="auto"/>
        <w:bottom w:val="none" w:sz="0" w:space="0" w:color="auto"/>
        <w:right w:val="none" w:sz="0" w:space="0" w:color="auto"/>
      </w:divBdr>
    </w:div>
    <w:div w:id="1998260025">
      <w:bodyDiv w:val="1"/>
      <w:marLeft w:val="0"/>
      <w:marRight w:val="0"/>
      <w:marTop w:val="0"/>
      <w:marBottom w:val="0"/>
      <w:divBdr>
        <w:top w:val="none" w:sz="0" w:space="0" w:color="auto"/>
        <w:left w:val="none" w:sz="0" w:space="0" w:color="auto"/>
        <w:bottom w:val="none" w:sz="0" w:space="0" w:color="auto"/>
        <w:right w:val="none" w:sz="0" w:space="0" w:color="auto"/>
      </w:divBdr>
    </w:div>
    <w:div w:id="1998996894">
      <w:bodyDiv w:val="1"/>
      <w:marLeft w:val="0"/>
      <w:marRight w:val="0"/>
      <w:marTop w:val="0"/>
      <w:marBottom w:val="0"/>
      <w:divBdr>
        <w:top w:val="none" w:sz="0" w:space="0" w:color="auto"/>
        <w:left w:val="none" w:sz="0" w:space="0" w:color="auto"/>
        <w:bottom w:val="none" w:sz="0" w:space="0" w:color="auto"/>
        <w:right w:val="none" w:sz="0" w:space="0" w:color="auto"/>
      </w:divBdr>
      <w:divsChild>
        <w:div w:id="140270785">
          <w:marLeft w:val="806"/>
          <w:marRight w:val="0"/>
          <w:marTop w:val="200"/>
          <w:marBottom w:val="0"/>
          <w:divBdr>
            <w:top w:val="none" w:sz="0" w:space="0" w:color="auto"/>
            <w:left w:val="none" w:sz="0" w:space="0" w:color="auto"/>
            <w:bottom w:val="none" w:sz="0" w:space="0" w:color="auto"/>
            <w:right w:val="none" w:sz="0" w:space="0" w:color="auto"/>
          </w:divBdr>
        </w:div>
        <w:div w:id="769130678">
          <w:marLeft w:val="806"/>
          <w:marRight w:val="0"/>
          <w:marTop w:val="200"/>
          <w:marBottom w:val="0"/>
          <w:divBdr>
            <w:top w:val="none" w:sz="0" w:space="0" w:color="auto"/>
            <w:left w:val="none" w:sz="0" w:space="0" w:color="auto"/>
            <w:bottom w:val="none" w:sz="0" w:space="0" w:color="auto"/>
            <w:right w:val="none" w:sz="0" w:space="0" w:color="auto"/>
          </w:divBdr>
        </w:div>
        <w:div w:id="1095637301">
          <w:marLeft w:val="806"/>
          <w:marRight w:val="0"/>
          <w:marTop w:val="200"/>
          <w:marBottom w:val="0"/>
          <w:divBdr>
            <w:top w:val="none" w:sz="0" w:space="0" w:color="auto"/>
            <w:left w:val="none" w:sz="0" w:space="0" w:color="auto"/>
            <w:bottom w:val="none" w:sz="0" w:space="0" w:color="auto"/>
            <w:right w:val="none" w:sz="0" w:space="0" w:color="auto"/>
          </w:divBdr>
        </w:div>
        <w:div w:id="1341547968">
          <w:marLeft w:val="806"/>
          <w:marRight w:val="0"/>
          <w:marTop w:val="200"/>
          <w:marBottom w:val="0"/>
          <w:divBdr>
            <w:top w:val="none" w:sz="0" w:space="0" w:color="auto"/>
            <w:left w:val="none" w:sz="0" w:space="0" w:color="auto"/>
            <w:bottom w:val="none" w:sz="0" w:space="0" w:color="auto"/>
            <w:right w:val="none" w:sz="0" w:space="0" w:color="auto"/>
          </w:divBdr>
        </w:div>
        <w:div w:id="1635718018">
          <w:marLeft w:val="806"/>
          <w:marRight w:val="0"/>
          <w:marTop w:val="200"/>
          <w:marBottom w:val="0"/>
          <w:divBdr>
            <w:top w:val="none" w:sz="0" w:space="0" w:color="auto"/>
            <w:left w:val="none" w:sz="0" w:space="0" w:color="auto"/>
            <w:bottom w:val="none" w:sz="0" w:space="0" w:color="auto"/>
            <w:right w:val="none" w:sz="0" w:space="0" w:color="auto"/>
          </w:divBdr>
        </w:div>
      </w:divsChild>
    </w:div>
    <w:div w:id="1999993732">
      <w:bodyDiv w:val="1"/>
      <w:marLeft w:val="0"/>
      <w:marRight w:val="0"/>
      <w:marTop w:val="0"/>
      <w:marBottom w:val="0"/>
      <w:divBdr>
        <w:top w:val="none" w:sz="0" w:space="0" w:color="auto"/>
        <w:left w:val="none" w:sz="0" w:space="0" w:color="auto"/>
        <w:bottom w:val="none" w:sz="0" w:space="0" w:color="auto"/>
        <w:right w:val="none" w:sz="0" w:space="0" w:color="auto"/>
      </w:divBdr>
    </w:div>
    <w:div w:id="2005425915">
      <w:bodyDiv w:val="1"/>
      <w:marLeft w:val="0"/>
      <w:marRight w:val="0"/>
      <w:marTop w:val="0"/>
      <w:marBottom w:val="0"/>
      <w:divBdr>
        <w:top w:val="none" w:sz="0" w:space="0" w:color="auto"/>
        <w:left w:val="none" w:sz="0" w:space="0" w:color="auto"/>
        <w:bottom w:val="none" w:sz="0" w:space="0" w:color="auto"/>
        <w:right w:val="none" w:sz="0" w:space="0" w:color="auto"/>
      </w:divBdr>
    </w:div>
    <w:div w:id="2005433371">
      <w:bodyDiv w:val="1"/>
      <w:marLeft w:val="0"/>
      <w:marRight w:val="0"/>
      <w:marTop w:val="0"/>
      <w:marBottom w:val="0"/>
      <w:divBdr>
        <w:top w:val="none" w:sz="0" w:space="0" w:color="auto"/>
        <w:left w:val="none" w:sz="0" w:space="0" w:color="auto"/>
        <w:bottom w:val="none" w:sz="0" w:space="0" w:color="auto"/>
        <w:right w:val="none" w:sz="0" w:space="0" w:color="auto"/>
      </w:divBdr>
    </w:div>
    <w:div w:id="2066221357">
      <w:bodyDiv w:val="1"/>
      <w:marLeft w:val="0"/>
      <w:marRight w:val="0"/>
      <w:marTop w:val="0"/>
      <w:marBottom w:val="0"/>
      <w:divBdr>
        <w:top w:val="none" w:sz="0" w:space="0" w:color="auto"/>
        <w:left w:val="none" w:sz="0" w:space="0" w:color="auto"/>
        <w:bottom w:val="none" w:sz="0" w:space="0" w:color="auto"/>
        <w:right w:val="none" w:sz="0" w:space="0" w:color="auto"/>
      </w:divBdr>
    </w:div>
    <w:div w:id="20992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RII@cde.ca.gov" TargetMode="External"/><Relationship Id="rId26" Type="http://schemas.openxmlformats.org/officeDocument/2006/relationships/hyperlink" Target="https://www.cde.ca.gov/sp/el/er/improvingmleleducation.asp" TargetMode="External"/><Relationship Id="rId39" Type="http://schemas.openxmlformats.org/officeDocument/2006/relationships/hyperlink" Target="https://www.cde.ca.gov/fg/fo/r12/rii21rfa.asp" TargetMode="External"/><Relationship Id="rId21" Type="http://schemas.openxmlformats.org/officeDocument/2006/relationships/hyperlink" Target="https://www.cde.ca.gov/pd/ps/slpdevelopment.asp" TargetMode="External"/><Relationship Id="rId34" Type="http://schemas.openxmlformats.org/officeDocument/2006/relationships/hyperlink" Target="https://www.cde.ca.gov/ci/se/" TargetMode="External"/><Relationship Id="rId42" Type="http://schemas.openxmlformats.org/officeDocument/2006/relationships/hyperlink" Target="http://www.cde.ca.gov/fg/fo/r12/rii21rfa.asp" TargetMode="External"/><Relationship Id="rId47" Type="http://schemas.openxmlformats.org/officeDocument/2006/relationships/header" Target="header7.xml"/><Relationship Id="rId50" Type="http://schemas.openxmlformats.org/officeDocument/2006/relationships/header" Target="header9.xml"/><Relationship Id="rId55" Type="http://schemas.openxmlformats.org/officeDocument/2006/relationships/header" Target="header11.xml"/><Relationship Id="rId63" Type="http://schemas.openxmlformats.org/officeDocument/2006/relationships/footer" Target="footer1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cde.ca.gov/ls/pf/p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ci/rl/cf/" TargetMode="External"/><Relationship Id="rId32" Type="http://schemas.openxmlformats.org/officeDocument/2006/relationships/hyperlink" Target="https://www.cde.ca.gov/sp/el/rm/" TargetMode="External"/><Relationship Id="rId37" Type="http://schemas.openxmlformats.org/officeDocument/2006/relationships/hyperlink" Target="https://oag.ca.gov/ab1887" TargetMode="External"/><Relationship Id="rId40" Type="http://schemas.openxmlformats.org/officeDocument/2006/relationships/hyperlink" Target="https://www.cde.ca.gov/fg/fo/r12/rii21rfa.asp" TargetMode="External"/><Relationship Id="rId45" Type="http://schemas.openxmlformats.org/officeDocument/2006/relationships/footer" Target="footer5.xml"/><Relationship Id="rId53" Type="http://schemas.openxmlformats.org/officeDocument/2006/relationships/footer" Target="footer7.xml"/><Relationship Id="rId58" Type="http://schemas.openxmlformats.org/officeDocument/2006/relationships/footer" Target="footer9.xml"/><Relationship Id="rId66"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e.ca.gov/sp/el/er/eldstandards.asp" TargetMode="External"/><Relationship Id="rId28" Type="http://schemas.openxmlformats.org/officeDocument/2006/relationships/hyperlink" Target="https://www.cde.ca.gov/ci/cr/ri/" TargetMode="External"/><Relationship Id="rId36" Type="http://schemas.openxmlformats.org/officeDocument/2006/relationships/hyperlink" Target="https://www.cde.ca.gov/pd/ps/qpls.asp" TargetMode="External"/><Relationship Id="rId49" Type="http://schemas.openxmlformats.org/officeDocument/2006/relationships/footer" Target="footer6.xml"/><Relationship Id="rId57" Type="http://schemas.openxmlformats.org/officeDocument/2006/relationships/header" Target="header12.xml"/><Relationship Id="rId61"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cde.ca.gov/pd/ee/culturallysustainingped.asp" TargetMode="External"/><Relationship Id="rId44" Type="http://schemas.openxmlformats.org/officeDocument/2006/relationships/header" Target="header5.xml"/><Relationship Id="rId52" Type="http://schemas.openxmlformats.org/officeDocument/2006/relationships/header" Target="header10.xml"/><Relationship Id="rId60" Type="http://schemas.openxmlformats.org/officeDocument/2006/relationships/header" Target="header14.xml"/><Relationship Id="rId65"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re/cc/" TargetMode="External"/><Relationship Id="rId27" Type="http://schemas.openxmlformats.org/officeDocument/2006/relationships/hyperlink" Target="https://www.cde.ca.gov/sp/se/ac/documents/ab2785guide.pdf" TargetMode="External"/><Relationship Id="rId30" Type="http://schemas.openxmlformats.org/officeDocument/2006/relationships/hyperlink" Target="https://www.cde.ca.gov/pd/ee/assetbasedpedagogies.asp" TargetMode="External"/><Relationship Id="rId35" Type="http://schemas.openxmlformats.org/officeDocument/2006/relationships/hyperlink" Target="https://ies.ed.gov/ncer/pubs/20172000/" TargetMode="External"/><Relationship Id="rId43" Type="http://schemas.openxmlformats.org/officeDocument/2006/relationships/header" Target="header4.xml"/><Relationship Id="rId48" Type="http://schemas.openxmlformats.org/officeDocument/2006/relationships/header" Target="header8.xml"/><Relationship Id="rId56" Type="http://schemas.openxmlformats.org/officeDocument/2006/relationships/footer" Target="footer8.xml"/><Relationship Id="rId64" Type="http://schemas.openxmlformats.org/officeDocument/2006/relationships/hyperlink" Target="https://www2.ed.gov/policy/gen/guid/fpco/ferpa/index.html" TargetMode="External"/><Relationship Id="rId77"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hyperlink" Target="http://www.cde.ca.gov/fg/fo/r12/rii21rfa.asp"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e.ca.gov/ci/cr/dy/" TargetMode="External"/><Relationship Id="rId33" Type="http://schemas.openxmlformats.org/officeDocument/2006/relationships/hyperlink" Target="https://www.cde.ca.gov/sp/el/er/improvingmleleducation.asp" TargetMode="External"/><Relationship Id="rId38" Type="http://schemas.openxmlformats.org/officeDocument/2006/relationships/hyperlink" Target="https://www.cde.ca.gov/fg/ac/ic/" TargetMode="External"/><Relationship Id="rId46" Type="http://schemas.openxmlformats.org/officeDocument/2006/relationships/header" Target="header6.xml"/><Relationship Id="rId59" Type="http://schemas.openxmlformats.org/officeDocument/2006/relationships/header" Target="header13.xml"/><Relationship Id="rId67" Type="http://schemas.openxmlformats.org/officeDocument/2006/relationships/fontTable" Target="fontTable.xml"/><Relationship Id="rId20" Type="http://schemas.openxmlformats.org/officeDocument/2006/relationships/hyperlink" Target="https://www.cde.ca.gov/sp/sw/t1/csss.asp" TargetMode="External"/><Relationship Id="rId41" Type="http://schemas.openxmlformats.org/officeDocument/2006/relationships/hyperlink" Target="https://www.cde.ca.gov/fg/fo/fm/ff.asp" TargetMode="External"/><Relationship Id="rId54" Type="http://schemas.openxmlformats.org/officeDocument/2006/relationships/hyperlink" Target="https://www.cde.ca.gov/fg/ac/ic/" TargetMode="External"/><Relationship Id="rId62" Type="http://schemas.openxmlformats.org/officeDocument/2006/relationships/header" Target="header15.xml"/></Relationships>
</file>

<file path=word/_rels/footnotes.xml.rels><?xml version="1.0" encoding="UTF-8" standalone="yes"?>
<Relationships xmlns="http://schemas.openxmlformats.org/package/2006/relationships"><Relationship Id="rId3" Type="http://schemas.openxmlformats.org/officeDocument/2006/relationships/hyperlink" Target="http://nationathope.org/report-from-the-nation/" TargetMode="External"/><Relationship Id="rId2" Type="http://schemas.openxmlformats.org/officeDocument/2006/relationships/hyperlink" Target="https://www.cde.ca.gov/pd/ee/culturallysustainingped.asp" TargetMode="External"/><Relationship Id="rId1" Type="http://schemas.openxmlformats.org/officeDocument/2006/relationships/hyperlink" Target="https://www.cde.ca.gov/pd/ps/documents/stateliteracyplan2021fin.docx" TargetMode="External"/><Relationship Id="rId5" Type="http://schemas.openxmlformats.org/officeDocument/2006/relationships/hyperlink" Target="https://www.cde.ca.gov/pd/ps/documents/stateliteracyplan2021fin.docx" TargetMode="External"/><Relationship Id="rId4" Type="http://schemas.openxmlformats.org/officeDocument/2006/relationships/hyperlink" Target="https://www.cde.ca.gov/pd/ps/documents/stateliteracyplan2021fin.docx" TargetMode="External"/></Relationships>
</file>

<file path=word/theme/theme1.xml><?xml version="1.0" encoding="utf-8"?>
<a:theme xmlns:a="http://schemas.openxmlformats.org/drawingml/2006/main" name="Office Theme">
  <a:themeElements>
    <a:clrScheme name="Custom 17">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70C0"/>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A8973-DE9A-4A13-9868-7173FFB52643}">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07E4148A-ACD1-44F4-AAD1-7E087F06A21D}">
  <ds:schemaRefs>
    <ds:schemaRef ds:uri="http://schemas.microsoft.com/sharepoint/v3/contenttype/forms"/>
  </ds:schemaRefs>
</ds:datastoreItem>
</file>

<file path=customXml/itemProps3.xml><?xml version="1.0" encoding="utf-8"?>
<ds:datastoreItem xmlns:ds="http://schemas.openxmlformats.org/officeDocument/2006/customXml" ds:itemID="{9BA5C6EE-03C9-4236-804D-386293971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94FD2-9E4A-42CC-A850-B6D67AD1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49</Pages>
  <Words>11600</Words>
  <Characters>69371</Characters>
  <Application>Microsoft Office Word</Application>
  <DocSecurity>0</DocSecurity>
  <Lines>1926</Lines>
  <Paragraphs>909</Paragraphs>
  <ScaleCrop>false</ScaleCrop>
  <HeadingPairs>
    <vt:vector size="2" baseType="variant">
      <vt:variant>
        <vt:lpstr>Title</vt:lpstr>
      </vt:variant>
      <vt:variant>
        <vt:i4>1</vt:i4>
      </vt:variant>
    </vt:vector>
  </HeadingPairs>
  <TitlesOfParts>
    <vt:vector size="1" baseType="lpstr">
      <vt:lpstr>RFA-21: RII Grant (CA Dept of Education)</vt:lpstr>
    </vt:vector>
  </TitlesOfParts>
  <Company>CDE</Company>
  <LinksUpToDate>false</LinksUpToDate>
  <CharactersWithSpaces>80062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RII Grant (CA Dept of Education)</dc:title>
  <dc:subject>Reading Instruction and Intervention (RII) Grant Request for Applications (RFA).</dc:subject>
  <dc:creator>CDE</dc:creator>
  <cp:keywords/>
  <dc:description/>
  <cp:lastModifiedBy>Christopher Slaven</cp:lastModifiedBy>
  <cp:revision>10</cp:revision>
  <cp:lastPrinted>2020-03-04T21:31:00Z</cp:lastPrinted>
  <dcterms:created xsi:type="dcterms:W3CDTF">2021-11-29T17:51:00Z</dcterms:created>
  <dcterms:modified xsi:type="dcterms:W3CDTF">2021-11-29T21:20:00Z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Opened By">
    <vt:lpwstr/>
  </property>
  <property fmtid="{D5CDD505-2E9C-101B-9397-08002B2CF9AE}" pid="4" name="FileLocation">
    <vt:lpwstr/>
  </property>
  <property fmtid="{D5CDD505-2E9C-101B-9397-08002B2CF9AE}" pid="5" name="Link">
    <vt:lpwstr>, </vt:lpwstr>
  </property>
</Properties>
</file>