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0764" w14:textId="1B63160F" w:rsidR="007B38B9" w:rsidRPr="00ED5C62" w:rsidRDefault="001E702A" w:rsidP="00ED5C62">
      <w:pPr>
        <w:pStyle w:val="Heading1"/>
        <w:ind w:right="-720"/>
      </w:pPr>
      <w:bookmarkStart w:id="0" w:name="_Toc107466433"/>
      <w:r>
        <w:t xml:space="preserve">SACS WEB SYSTEM </w:t>
      </w:r>
      <w:r w:rsidR="00173C8D" w:rsidRPr="00C6764E">
        <w:t>WHAT'S NEW</w:t>
      </w:r>
      <w:r w:rsidR="00ED5C62">
        <w:br/>
      </w:r>
      <w:r w:rsidR="007B38B9" w:rsidRPr="007B38B9">
        <w:t>2023–24 BUDGET REPORTING PERIOD</w:t>
      </w:r>
    </w:p>
    <w:p w14:paraId="76742820" w14:textId="04D545AA" w:rsidR="00173C8D" w:rsidRPr="00C6764E" w:rsidRDefault="00950D38" w:rsidP="00950D38">
      <w:pPr>
        <w:spacing w:after="240"/>
      </w:pPr>
      <w:r>
        <w:rPr>
          <w:b/>
        </w:rPr>
        <w:t>California Department of Education</w:t>
      </w:r>
    </w:p>
    <w:p w14:paraId="2F0AE324" w14:textId="15197191" w:rsidR="00173C8D" w:rsidRPr="00C6764E" w:rsidRDefault="00173C8D" w:rsidP="00950D38">
      <w:pPr>
        <w:spacing w:after="240"/>
      </w:pPr>
      <w:r w:rsidRPr="00C6764E">
        <w:t xml:space="preserve">Listed below is a summary of changes made to the 2023–24 budget </w:t>
      </w:r>
      <w:r w:rsidR="00AE1AD3">
        <w:t xml:space="preserve">reporting </w:t>
      </w:r>
      <w:r w:rsidRPr="00C6764E">
        <w:t xml:space="preserve">components of the SACS </w:t>
      </w:r>
      <w:r w:rsidR="00A85910">
        <w:t>Web System</w:t>
      </w:r>
      <w:r w:rsidRPr="00C6764E">
        <w:t>.</w:t>
      </w:r>
    </w:p>
    <w:p w14:paraId="451D2D0D" w14:textId="720A6B5F" w:rsidR="00173C8D" w:rsidRPr="00C6764E" w:rsidRDefault="00173C8D" w:rsidP="00950D38">
      <w:pPr>
        <w:spacing w:after="480"/>
      </w:pPr>
      <w:r w:rsidRPr="00C6764E">
        <w:t xml:space="preserve">This year </w:t>
      </w:r>
      <w:r w:rsidR="007B38B9">
        <w:t>CDE’s</w:t>
      </w:r>
      <w:r w:rsidRPr="00C6764E">
        <w:t xml:space="preserve"> efforts were primarily focused on required changes (e.g., those due to Governmental Accounting Standards Board Statement </w:t>
      </w:r>
      <w:r w:rsidR="00681E94">
        <w:t>96</w:t>
      </w:r>
      <w:r w:rsidRPr="00C6764E">
        <w:t>). For additional information on each of the changes, refer to the relevant sections of th</w:t>
      </w:r>
      <w:r w:rsidR="000A3C79">
        <w:t>e SACS Web System</w:t>
      </w:r>
      <w:r w:rsidRPr="00C6764E">
        <w:t xml:space="preserve"> </w:t>
      </w:r>
      <w:r w:rsidR="000A3C79">
        <w:t>U</w:t>
      </w:r>
      <w:r w:rsidRPr="00C6764E">
        <w:t xml:space="preserve">ser </w:t>
      </w:r>
      <w:r w:rsidR="000A3C79">
        <w:t>G</w:t>
      </w:r>
      <w:r w:rsidRPr="00C6764E">
        <w:t>uide.</w:t>
      </w:r>
    </w:p>
    <w:p w14:paraId="05A9376F" w14:textId="07244124" w:rsidR="00173C8D" w:rsidRPr="00575371" w:rsidRDefault="00173C8D" w:rsidP="00950D38">
      <w:pPr>
        <w:pStyle w:val="Heading2"/>
        <w:spacing w:after="240"/>
        <w:rPr>
          <w:b/>
          <w:u w:val="none"/>
        </w:rPr>
      </w:pPr>
      <w:r w:rsidRPr="00575371">
        <w:rPr>
          <w:b/>
          <w:u w:val="none"/>
        </w:rPr>
        <w:t>Revised Fund Forms</w:t>
      </w:r>
    </w:p>
    <w:p w14:paraId="47C04842" w14:textId="3888AB7B" w:rsidR="00173C8D" w:rsidRPr="00C6764E" w:rsidRDefault="00173C8D" w:rsidP="00531851">
      <w:pPr>
        <w:numPr>
          <w:ilvl w:val="0"/>
          <w:numId w:val="1"/>
        </w:numPr>
        <w:ind w:left="720"/>
      </w:pPr>
      <w:r w:rsidRPr="00C6764E">
        <w:rPr>
          <w:b/>
        </w:rPr>
        <w:t>Form 01</w:t>
      </w:r>
      <w:r w:rsidR="00BA32CD" w:rsidRPr="00C6764E">
        <w:rPr>
          <w:b/>
        </w:rPr>
        <w:t>,</w:t>
      </w:r>
      <w:r w:rsidR="00303574" w:rsidRPr="00C6764E">
        <w:rPr>
          <w:b/>
        </w:rPr>
        <w:t xml:space="preserve"> </w:t>
      </w:r>
      <w:r w:rsidR="00932C6D" w:rsidRPr="00C6764E">
        <w:rPr>
          <w:b/>
        </w:rPr>
        <w:t xml:space="preserve">09, </w:t>
      </w:r>
      <w:r w:rsidR="00303574" w:rsidRPr="00C6764E">
        <w:rPr>
          <w:b/>
        </w:rPr>
        <w:t>62</w:t>
      </w:r>
      <w:r w:rsidRPr="00C6764E">
        <w:t>—Federal Revenue Section.</w:t>
      </w:r>
      <w:r w:rsidRPr="00C6764E">
        <w:br/>
        <w:t>Removed the obsolete resource code 3045, NCLB-Title I Migrant Ed Statewide Pass Project (17-18), from the Other NCLB / Every Student Succeeds Act, object 8290; and moved the resource to the All Other Federal Revenue, All Other Object 8290 line.</w:t>
      </w:r>
    </w:p>
    <w:p w14:paraId="36A0E8E3" w14:textId="77777777" w:rsidR="00F23CC4" w:rsidRPr="00C6764E" w:rsidRDefault="00F23CC4" w:rsidP="00531851">
      <w:pPr>
        <w:numPr>
          <w:ilvl w:val="0"/>
          <w:numId w:val="1"/>
        </w:numPr>
        <w:ind w:left="720"/>
      </w:pPr>
      <w:r w:rsidRPr="00C6764E">
        <w:rPr>
          <w:b/>
        </w:rPr>
        <w:t>Form 01</w:t>
      </w:r>
      <w:r w:rsidR="007C48BC" w:rsidRPr="00C6764E">
        <w:rPr>
          <w:b/>
        </w:rPr>
        <w:t xml:space="preserve">, </w:t>
      </w:r>
      <w:r w:rsidR="003751E1" w:rsidRPr="00C6764E">
        <w:rPr>
          <w:b/>
        </w:rPr>
        <w:t xml:space="preserve">08, </w:t>
      </w:r>
      <w:r w:rsidR="007C48BC" w:rsidRPr="00C6764E">
        <w:rPr>
          <w:b/>
        </w:rPr>
        <w:t>09, 11, 12, 13, 14, 15, 18</w:t>
      </w:r>
      <w:r w:rsidR="009D6323" w:rsidRPr="00C6764E">
        <w:rPr>
          <w:b/>
        </w:rPr>
        <w:t>, 21, 25, 30, 35, 40, and 49</w:t>
      </w:r>
      <w:r w:rsidR="0022382B" w:rsidRPr="00C6764E">
        <w:t>—Capital Outlay Section.</w:t>
      </w:r>
      <w:r w:rsidR="0022382B" w:rsidRPr="00C6764E">
        <w:br/>
        <w:t>Added a new line, Subscription Assets, Object 6700.</w:t>
      </w:r>
    </w:p>
    <w:p w14:paraId="56132F4B" w14:textId="77777777" w:rsidR="009F238F" w:rsidRPr="00C6764E" w:rsidRDefault="009F238F" w:rsidP="00531851">
      <w:pPr>
        <w:numPr>
          <w:ilvl w:val="0"/>
          <w:numId w:val="1"/>
        </w:numPr>
        <w:ind w:left="720"/>
      </w:pPr>
      <w:r w:rsidRPr="00C6764E">
        <w:rPr>
          <w:b/>
        </w:rPr>
        <w:t>Form 01</w:t>
      </w:r>
      <w:r w:rsidR="007C48BC" w:rsidRPr="00C6764E">
        <w:rPr>
          <w:b/>
        </w:rPr>
        <w:t xml:space="preserve">, </w:t>
      </w:r>
      <w:r w:rsidR="003751E1" w:rsidRPr="00C6764E">
        <w:rPr>
          <w:b/>
        </w:rPr>
        <w:t xml:space="preserve">08, </w:t>
      </w:r>
      <w:r w:rsidR="007C48BC" w:rsidRPr="00C6764E">
        <w:rPr>
          <w:b/>
        </w:rPr>
        <w:t>09, 11, 12, 13, 14, 15, 18</w:t>
      </w:r>
      <w:r w:rsidR="00B57C61" w:rsidRPr="00C6764E">
        <w:rPr>
          <w:b/>
        </w:rPr>
        <w:t>, 21, 25, 30, 35, 40, and 49</w:t>
      </w:r>
      <w:r w:rsidR="003C7B50" w:rsidRPr="00C6764E">
        <w:t>—Other Sources/Uses Section.</w:t>
      </w:r>
      <w:r w:rsidR="003C7B50" w:rsidRPr="00C6764E">
        <w:br/>
        <w:t>Added a new line, Proceeds from SBITAs, Object 8974.</w:t>
      </w:r>
    </w:p>
    <w:p w14:paraId="390A407D" w14:textId="21F7D13B" w:rsidR="00112BA0" w:rsidRPr="00C6764E" w:rsidRDefault="00112BA0" w:rsidP="00112BA0">
      <w:pPr>
        <w:numPr>
          <w:ilvl w:val="0"/>
          <w:numId w:val="1"/>
        </w:numPr>
        <w:ind w:left="720"/>
      </w:pPr>
      <w:r w:rsidRPr="00C6764E">
        <w:rPr>
          <w:b/>
        </w:rPr>
        <w:t xml:space="preserve">Form </w:t>
      </w:r>
      <w:r w:rsidR="00344D3A" w:rsidRPr="00C6764E">
        <w:rPr>
          <w:b/>
        </w:rPr>
        <w:t xml:space="preserve">61, </w:t>
      </w:r>
      <w:r w:rsidRPr="00C6764E">
        <w:rPr>
          <w:b/>
        </w:rPr>
        <w:t>62</w:t>
      </w:r>
      <w:r w:rsidR="00344D3A" w:rsidRPr="00C6764E">
        <w:rPr>
          <w:b/>
        </w:rPr>
        <w:t>, 63, 66, 67, and 73</w:t>
      </w:r>
      <w:r w:rsidRPr="00C6764E">
        <w:t>—Assets Section.</w:t>
      </w:r>
    </w:p>
    <w:p w14:paraId="5958D8FF" w14:textId="77777777" w:rsidR="00112BA0" w:rsidRPr="00C6764E" w:rsidRDefault="00112BA0" w:rsidP="00112BA0">
      <w:pPr>
        <w:numPr>
          <w:ilvl w:val="1"/>
          <w:numId w:val="1"/>
        </w:numPr>
        <w:ind w:left="1440" w:hanging="720"/>
      </w:pPr>
      <w:r w:rsidRPr="00C6764E">
        <w:t>Added a new line, Subscription Assets, Object 9470.</w:t>
      </w:r>
    </w:p>
    <w:p w14:paraId="40898375" w14:textId="77777777" w:rsidR="00112BA0" w:rsidRPr="00C6764E" w:rsidRDefault="00112BA0" w:rsidP="00112BA0">
      <w:pPr>
        <w:numPr>
          <w:ilvl w:val="1"/>
          <w:numId w:val="1"/>
        </w:numPr>
        <w:ind w:left="1440" w:hanging="720"/>
      </w:pPr>
      <w:r w:rsidRPr="00C6764E">
        <w:t>Added a new line, Accumulated Amortization-Subscription Assets, Object 9475.</w:t>
      </w:r>
    </w:p>
    <w:p w14:paraId="7684EAA7" w14:textId="6CAECA54" w:rsidR="009D6323" w:rsidRPr="00C6764E" w:rsidRDefault="009D6323" w:rsidP="009D6323">
      <w:pPr>
        <w:numPr>
          <w:ilvl w:val="0"/>
          <w:numId w:val="1"/>
        </w:numPr>
        <w:ind w:left="720"/>
      </w:pPr>
      <w:r w:rsidRPr="00C6764E">
        <w:rPr>
          <w:b/>
        </w:rPr>
        <w:t xml:space="preserve">Form </w:t>
      </w:r>
      <w:r w:rsidR="00344D3A" w:rsidRPr="00C6764E">
        <w:rPr>
          <w:b/>
        </w:rPr>
        <w:t xml:space="preserve">61, </w:t>
      </w:r>
      <w:r w:rsidRPr="00C6764E">
        <w:rPr>
          <w:b/>
        </w:rPr>
        <w:t>62</w:t>
      </w:r>
      <w:r w:rsidR="00344D3A" w:rsidRPr="00C6764E">
        <w:rPr>
          <w:b/>
        </w:rPr>
        <w:t>, 63, 66, 67, and 73</w:t>
      </w:r>
      <w:r w:rsidRPr="00C6764E">
        <w:t>—Liabilities Section.</w:t>
      </w:r>
      <w:r w:rsidRPr="00C6764E">
        <w:br/>
        <w:t>Added a new line, Subscription Liability, Object 9660.</w:t>
      </w:r>
    </w:p>
    <w:p w14:paraId="642B0FFD" w14:textId="77777777" w:rsidR="007C48BC" w:rsidRPr="00C6764E" w:rsidRDefault="007C48BC" w:rsidP="007C48BC">
      <w:pPr>
        <w:numPr>
          <w:ilvl w:val="0"/>
          <w:numId w:val="1"/>
        </w:numPr>
        <w:ind w:left="720"/>
      </w:pPr>
      <w:r w:rsidRPr="00C6764E">
        <w:rPr>
          <w:b/>
        </w:rPr>
        <w:t xml:space="preserve">Form </w:t>
      </w:r>
      <w:r w:rsidR="00760A63" w:rsidRPr="00C6764E">
        <w:rPr>
          <w:b/>
        </w:rPr>
        <w:t xml:space="preserve">61, </w:t>
      </w:r>
      <w:r w:rsidRPr="00C6764E">
        <w:rPr>
          <w:b/>
        </w:rPr>
        <w:t>62</w:t>
      </w:r>
      <w:r w:rsidR="00760A63" w:rsidRPr="00C6764E">
        <w:rPr>
          <w:b/>
        </w:rPr>
        <w:t>, 63, 66, 67, and 73</w:t>
      </w:r>
      <w:r w:rsidRPr="00C6764E">
        <w:t>—Depreciation and Amortization Section.</w:t>
      </w:r>
      <w:r w:rsidRPr="00C6764E">
        <w:br/>
        <w:t>Added a new line, Amortization Expense-Subscription Assets, Object 6920.</w:t>
      </w:r>
    </w:p>
    <w:p w14:paraId="439E3700" w14:textId="4D51C9E3" w:rsidR="00A62BCC" w:rsidRPr="00C6764E" w:rsidRDefault="00760A63" w:rsidP="00950D38">
      <w:pPr>
        <w:numPr>
          <w:ilvl w:val="0"/>
          <w:numId w:val="1"/>
        </w:numPr>
        <w:spacing w:after="480"/>
        <w:ind w:left="720"/>
      </w:pPr>
      <w:r w:rsidRPr="00950D38">
        <w:rPr>
          <w:b/>
        </w:rPr>
        <w:t>Form 61, 63, 66, 67, 71, and 73</w:t>
      </w:r>
      <w:r w:rsidRPr="00C6764E">
        <w:t>—Assets Section.</w:t>
      </w:r>
      <w:r w:rsidRPr="00C6764E">
        <w:br/>
        <w:t>Unshaded the Actuals column for the Object 9380 line, Lease Receivable.</w:t>
      </w:r>
    </w:p>
    <w:p w14:paraId="457D724E" w14:textId="14E3BD93" w:rsidR="00173C8D" w:rsidRPr="00575371" w:rsidRDefault="00173C8D" w:rsidP="00950D38">
      <w:pPr>
        <w:pStyle w:val="Heading2"/>
        <w:spacing w:after="240"/>
        <w:rPr>
          <w:b/>
          <w:bCs/>
          <w:u w:val="none"/>
        </w:rPr>
      </w:pPr>
      <w:r w:rsidRPr="00575371">
        <w:rPr>
          <w:b/>
          <w:u w:val="none"/>
        </w:rPr>
        <w:t>Revised Supplemental Forms</w:t>
      </w:r>
    </w:p>
    <w:p w14:paraId="7896EA82" w14:textId="77777777" w:rsidR="00173C8D" w:rsidRPr="00C6764E" w:rsidRDefault="00173C8D" w:rsidP="00173C8D">
      <w:r w:rsidRPr="00C6764E">
        <w:rPr>
          <w:b/>
        </w:rPr>
        <w:t>Form ASSET</w:t>
      </w:r>
      <w:r w:rsidRPr="00C6764E">
        <w:t>—Schedule of Capital Assets</w:t>
      </w:r>
      <w:r w:rsidRPr="00C6764E">
        <w:br/>
        <w:t>Governmental Activities Section; and</w:t>
      </w:r>
      <w:r w:rsidRPr="00C6764E">
        <w:br/>
        <w:t>Business-Type Activities Section</w:t>
      </w:r>
    </w:p>
    <w:p w14:paraId="50AF64B4" w14:textId="77777777" w:rsidR="00173C8D" w:rsidRPr="00C6764E" w:rsidRDefault="00173C8D" w:rsidP="00D7368F">
      <w:pPr>
        <w:pStyle w:val="ListParagraph"/>
        <w:numPr>
          <w:ilvl w:val="0"/>
          <w:numId w:val="4"/>
        </w:numPr>
      </w:pPr>
      <w:r w:rsidRPr="00C6764E">
        <w:t xml:space="preserve">Revised the line titled </w:t>
      </w:r>
      <w:r w:rsidR="00D7368F" w:rsidRPr="00C6764E">
        <w:t>Total capital assets being depreciated, net excluding lease assets” to “Total capital assets being depreciated, net excluding lease and subscription assets”</w:t>
      </w:r>
    </w:p>
    <w:p w14:paraId="53889E31" w14:textId="5EA9602C" w:rsidR="00173C8D" w:rsidRPr="00C6764E" w:rsidRDefault="00D7368F" w:rsidP="00950D38">
      <w:pPr>
        <w:pStyle w:val="ListParagraph"/>
        <w:numPr>
          <w:ilvl w:val="0"/>
          <w:numId w:val="4"/>
        </w:numPr>
        <w:spacing w:after="240"/>
      </w:pPr>
      <w:r w:rsidRPr="00C6764E">
        <w:lastRenderedPageBreak/>
        <w:t>Added the following lines under “Total lease assets, net”:</w:t>
      </w:r>
      <w:r w:rsidRPr="00C6764E">
        <w:br/>
        <w:t>“Subscription Assets”</w:t>
      </w:r>
      <w:r w:rsidRPr="00C6764E">
        <w:br/>
        <w:t xml:space="preserve">     “Accumulated amortization for subscription assets”</w:t>
      </w:r>
      <w:r w:rsidRPr="00C6764E">
        <w:br/>
        <w:t xml:space="preserve">     “Total subscription assets, net”</w:t>
      </w:r>
    </w:p>
    <w:p w14:paraId="3B29A5BA" w14:textId="77777777" w:rsidR="002E12BE" w:rsidRPr="00C6764E" w:rsidRDefault="002E12BE" w:rsidP="002E12BE">
      <w:r w:rsidRPr="00C6764E">
        <w:rPr>
          <w:b/>
        </w:rPr>
        <w:t>Form CEA/CEB</w:t>
      </w:r>
      <w:r w:rsidRPr="00C6764E">
        <w:t>—Current Expense Formula/Minimum Classroom Compensation</w:t>
      </w:r>
      <w:r w:rsidRPr="00C6764E">
        <w:br/>
        <w:t>Part I, Current Expense Formula; and</w:t>
      </w:r>
      <w:r w:rsidRPr="00C6764E">
        <w:br/>
        <w:t>Part II, Minimum Classroom Compensation</w:t>
      </w:r>
    </w:p>
    <w:p w14:paraId="51827415" w14:textId="11D91FDA" w:rsidR="00631576" w:rsidRPr="00950D38" w:rsidRDefault="002E12BE" w:rsidP="00950D38">
      <w:pPr>
        <w:numPr>
          <w:ilvl w:val="0"/>
          <w:numId w:val="1"/>
        </w:numPr>
        <w:spacing w:after="240"/>
        <w:ind w:left="720"/>
        <w:rPr>
          <w:b/>
        </w:rPr>
      </w:pPr>
      <w:r w:rsidRPr="00C6764E">
        <w:t xml:space="preserve">Added the following resource codes to the reductions in Column 4a and Line 13a: Resource </w:t>
      </w:r>
      <w:r w:rsidR="00631576" w:rsidRPr="00C6764E">
        <w:t>5460</w:t>
      </w:r>
      <w:r w:rsidRPr="00C6764E">
        <w:t xml:space="preserve">, </w:t>
      </w:r>
      <w:r w:rsidR="00631576" w:rsidRPr="00C6764E">
        <w:t>Child Nutrition: CACFP COVID-19 Emergency Operational Costs Reimbursement (ECR); Resource 5465, Child Nutrition: SNP COVID-19 Emergency Operational Costs Reimbursement (ECR).</w:t>
      </w:r>
    </w:p>
    <w:p w14:paraId="14AC37ED" w14:textId="77777777" w:rsidR="00173C8D" w:rsidRPr="00C6764E" w:rsidRDefault="00173C8D" w:rsidP="002E12BE">
      <w:r w:rsidRPr="00C6764E">
        <w:rPr>
          <w:b/>
        </w:rPr>
        <w:t>Form DEBT</w:t>
      </w:r>
      <w:r w:rsidRPr="00C6764E">
        <w:t>—Schedule of Long-Term Liabilities</w:t>
      </w:r>
      <w:r w:rsidRPr="00C6764E">
        <w:br/>
        <w:t>Governmental Activities Section; and</w:t>
      </w:r>
      <w:r w:rsidRPr="00C6764E">
        <w:br/>
        <w:t>Business-Type Activities Section</w:t>
      </w:r>
    </w:p>
    <w:p w14:paraId="0ECAEA3F" w14:textId="20CC5C69" w:rsidR="00173C8D" w:rsidRPr="00C6764E" w:rsidRDefault="00D7368F" w:rsidP="00950D38">
      <w:pPr>
        <w:pStyle w:val="ListParagraph"/>
        <w:numPr>
          <w:ilvl w:val="0"/>
          <w:numId w:val="4"/>
        </w:numPr>
        <w:spacing w:after="240"/>
      </w:pPr>
      <w:r w:rsidRPr="00C6764E">
        <w:t>Added a new line, “Subscription Liability”</w:t>
      </w:r>
    </w:p>
    <w:p w14:paraId="1989344D" w14:textId="54B4EC6C" w:rsidR="00173C8D" w:rsidRPr="00C6764E" w:rsidRDefault="00173C8D" w:rsidP="00173C8D">
      <w:r w:rsidRPr="00C6764E">
        <w:rPr>
          <w:b/>
        </w:rPr>
        <w:t>Form MYP</w:t>
      </w:r>
      <w:r w:rsidRPr="00C6764E">
        <w:t>—Multiyear Projections</w:t>
      </w:r>
    </w:p>
    <w:p w14:paraId="3362448F" w14:textId="2938AA84" w:rsidR="00616FE9" w:rsidRPr="00C6764E" w:rsidRDefault="00173C8D" w:rsidP="00950D38">
      <w:pPr>
        <w:numPr>
          <w:ilvl w:val="0"/>
          <w:numId w:val="1"/>
        </w:numPr>
        <w:spacing w:after="240"/>
        <w:ind w:left="720"/>
      </w:pPr>
      <w:r w:rsidRPr="00950D38">
        <w:rPr>
          <w:rFonts w:cs="Arial"/>
          <w:szCs w:val="24"/>
        </w:rPr>
        <w:t>Adjusted the dollar amounts used in the Unrestricted/Restricted worksheet, Reserve Standard Percentage Level</w:t>
      </w:r>
      <w:r w:rsidRPr="00950D38">
        <w:rPr>
          <w:rFonts w:cs="Arial"/>
          <w:i/>
          <w:iCs/>
          <w:szCs w:val="24"/>
        </w:rPr>
        <w:t xml:space="preserve"> </w:t>
      </w:r>
      <w:r w:rsidRPr="00950D38">
        <w:rPr>
          <w:rFonts w:cs="Arial"/>
          <w:iCs/>
          <w:szCs w:val="24"/>
        </w:rPr>
        <w:t>(</w:t>
      </w:r>
      <w:r w:rsidRPr="00950D38">
        <w:rPr>
          <w:rFonts w:cs="Arial"/>
          <w:i/>
          <w:iCs/>
          <w:szCs w:val="24"/>
        </w:rPr>
        <w:t>Line F3d for COEs only</w:t>
      </w:r>
      <w:r w:rsidRPr="00950D38">
        <w:rPr>
          <w:rFonts w:cs="Arial"/>
          <w:iCs/>
          <w:szCs w:val="24"/>
        </w:rPr>
        <w:t>)</w:t>
      </w:r>
      <w:r w:rsidRPr="00950D38">
        <w:rPr>
          <w:rFonts w:cs="Arial"/>
          <w:szCs w:val="24"/>
        </w:rPr>
        <w:t xml:space="preserve"> and Reserve Standard – By Amount (Line F3f for COEs and districts, and Line F7 for JPAs), based on the COLA adjustment made to the Criteria and Standards Review form.</w:t>
      </w:r>
    </w:p>
    <w:p w14:paraId="5BECE921" w14:textId="77777777" w:rsidR="00616FE9" w:rsidRPr="00C6764E" w:rsidRDefault="00616FE9" w:rsidP="00616FE9">
      <w:r w:rsidRPr="00C6764E">
        <w:rPr>
          <w:b/>
        </w:rPr>
        <w:t>Form SEA</w:t>
      </w:r>
      <w:r w:rsidRPr="00C6764E">
        <w:t>—Special Education Revenue Allocations</w:t>
      </w:r>
    </w:p>
    <w:p w14:paraId="2AB88642" w14:textId="77777777" w:rsidR="00616FE9" w:rsidRPr="00C6764E" w:rsidRDefault="00616FE9" w:rsidP="00616FE9">
      <w:r w:rsidRPr="00C6764E">
        <w:t>Section I – Mental Health Apportionment</w:t>
      </w:r>
    </w:p>
    <w:p w14:paraId="61EAA9BB" w14:textId="278D2A0F" w:rsidR="00173C8D" w:rsidRPr="00C6764E" w:rsidRDefault="00616FE9" w:rsidP="00950D38">
      <w:pPr>
        <w:pStyle w:val="ListParagraph"/>
        <w:numPr>
          <w:ilvl w:val="0"/>
          <w:numId w:val="11"/>
        </w:numPr>
        <w:spacing w:after="480"/>
      </w:pPr>
      <w:r w:rsidRPr="00C6764E">
        <w:t>Shaded and no longer allowed key entry for the Budget column.</w:t>
      </w:r>
    </w:p>
    <w:p w14:paraId="434ED883" w14:textId="404E96BE" w:rsidR="00173C8D" w:rsidRPr="00575371" w:rsidRDefault="00173C8D" w:rsidP="00950D38">
      <w:pPr>
        <w:pStyle w:val="Heading2"/>
        <w:spacing w:after="240"/>
        <w:rPr>
          <w:b/>
          <w:u w:val="none"/>
        </w:rPr>
      </w:pPr>
      <w:r w:rsidRPr="00575371">
        <w:rPr>
          <w:b/>
          <w:u w:val="none"/>
        </w:rPr>
        <w:t>Revised Criteria and Standards</w:t>
      </w:r>
    </w:p>
    <w:p w14:paraId="42D4F920" w14:textId="21F9C148" w:rsidR="002637A8" w:rsidRPr="00C6764E" w:rsidRDefault="002637A8" w:rsidP="002637A8">
      <w:pPr>
        <w:ind w:left="1080" w:hanging="1080"/>
        <w:rPr>
          <w:rFonts w:cs="Arial"/>
          <w:szCs w:val="24"/>
        </w:rPr>
      </w:pPr>
      <w:r w:rsidRPr="00C6764E">
        <w:rPr>
          <w:rFonts w:cs="Arial"/>
          <w:b/>
          <w:bCs/>
          <w:szCs w:val="24"/>
        </w:rPr>
        <w:t>Form 01CS</w:t>
      </w:r>
      <w:r w:rsidRPr="00C6764E">
        <w:rPr>
          <w:rFonts w:cs="Arial"/>
          <w:szCs w:val="24"/>
        </w:rPr>
        <w:t>—Criteria and Standards Review—Budget period</w:t>
      </w:r>
    </w:p>
    <w:p w14:paraId="7F6621CE" w14:textId="77777777" w:rsidR="002637A8" w:rsidRPr="00C6764E" w:rsidRDefault="002637A8" w:rsidP="002637A8">
      <w:pPr>
        <w:numPr>
          <w:ilvl w:val="0"/>
          <w:numId w:val="12"/>
        </w:numPr>
        <w:ind w:left="720"/>
        <w:rPr>
          <w:rFonts w:cs="Arial"/>
          <w:szCs w:val="24"/>
        </w:rPr>
      </w:pPr>
      <w:r w:rsidRPr="00C6764E">
        <w:rPr>
          <w:rFonts w:cs="Arial"/>
          <w:szCs w:val="24"/>
        </w:rPr>
        <w:t xml:space="preserve">Adjusted </w:t>
      </w:r>
      <w:r w:rsidRPr="00C6764E">
        <w:rPr>
          <w:rFonts w:cs="Arial"/>
          <w:i/>
          <w:iCs/>
          <w:szCs w:val="24"/>
        </w:rPr>
        <w:t xml:space="preserve">fund balance levels for COEs, </w:t>
      </w:r>
      <w:r w:rsidRPr="00C6764E">
        <w:rPr>
          <w:rFonts w:cs="Arial"/>
          <w:szCs w:val="24"/>
        </w:rPr>
        <w:t>and reserve levels for all LEAs, based on prior year's statutory COLA.</w:t>
      </w:r>
    </w:p>
    <w:p w14:paraId="0C2BCC3B" w14:textId="7ED9AA22" w:rsidR="002637A8" w:rsidRPr="00C6764E" w:rsidRDefault="002637A8" w:rsidP="002637A8">
      <w:pPr>
        <w:numPr>
          <w:ilvl w:val="0"/>
          <w:numId w:val="12"/>
        </w:numPr>
        <w:ind w:left="720"/>
        <w:rPr>
          <w:rFonts w:cs="Arial"/>
          <w:szCs w:val="24"/>
        </w:rPr>
      </w:pPr>
      <w:r w:rsidRPr="00C6764E">
        <w:rPr>
          <w:rFonts w:cs="Arial"/>
          <w:szCs w:val="24"/>
        </w:rPr>
        <w:t>Districts only – Budget – Criterion 7 – Facilities Maintenance</w:t>
      </w:r>
      <w:r w:rsidRPr="00C6764E">
        <w:rPr>
          <w:rFonts w:cs="Arial"/>
          <w:szCs w:val="24"/>
        </w:rPr>
        <w:br/>
        <w:t xml:space="preserve">Updated the resource codes exclusions for the required minimum contribution calculation. The following resource codes </w:t>
      </w:r>
      <w:r w:rsidR="008E21CE">
        <w:rPr>
          <w:rFonts w:cs="Arial"/>
          <w:szCs w:val="24"/>
        </w:rPr>
        <w:t>are</w:t>
      </w:r>
      <w:r w:rsidRPr="00C6764E">
        <w:rPr>
          <w:rFonts w:cs="Arial"/>
          <w:szCs w:val="24"/>
        </w:rPr>
        <w:t xml:space="preserve"> automatically excluded from the total budgeted expenditures and other financing uses calculation: 3212, 3213, 3214, 3216, 3218, 3219, 3225, 3226, 3227, 3228, 5316, 5632, 5633, 5634, 7027, and 7690.</w:t>
      </w:r>
    </w:p>
    <w:p w14:paraId="6CBAB246" w14:textId="05789ADC" w:rsidR="008E21CE" w:rsidRPr="008E21CE" w:rsidRDefault="002637A8" w:rsidP="002637A8">
      <w:pPr>
        <w:pStyle w:val="ListParagraph"/>
        <w:numPr>
          <w:ilvl w:val="0"/>
          <w:numId w:val="12"/>
        </w:numPr>
        <w:ind w:left="720"/>
      </w:pPr>
      <w:r w:rsidRPr="00C6764E">
        <w:rPr>
          <w:rFonts w:cs="Arial"/>
          <w:szCs w:val="24"/>
        </w:rPr>
        <w:t>COE only – Budget – Criterion 2 – LCFF Revenue</w:t>
      </w:r>
    </w:p>
    <w:p w14:paraId="266CF52F" w14:textId="7F60CDBD" w:rsidR="008E21CE" w:rsidRPr="008E21CE" w:rsidRDefault="008E21CE" w:rsidP="008E21CE">
      <w:pPr>
        <w:pStyle w:val="ListParagraph"/>
        <w:numPr>
          <w:ilvl w:val="1"/>
          <w:numId w:val="12"/>
        </w:numPr>
        <w:ind w:left="1440" w:hanging="720"/>
      </w:pPr>
      <w:r>
        <w:rPr>
          <w:rFonts w:cs="Arial"/>
          <w:szCs w:val="24"/>
        </w:rPr>
        <w:t>Updated to</w:t>
      </w:r>
      <w:r w:rsidR="002637A8" w:rsidRPr="00C6764E">
        <w:rPr>
          <w:rFonts w:cs="Arial"/>
          <w:szCs w:val="24"/>
        </w:rPr>
        <w:t xml:space="preserve"> incorporate the COLA add-on for hold harmless COEs</w:t>
      </w:r>
      <w:r>
        <w:rPr>
          <w:rFonts w:cs="Arial"/>
          <w:szCs w:val="24"/>
        </w:rPr>
        <w:t>, p</w:t>
      </w:r>
      <w:r w:rsidRPr="00C6764E">
        <w:rPr>
          <w:rFonts w:cs="Arial"/>
          <w:szCs w:val="24"/>
        </w:rPr>
        <w:t>ursuant to AB 181, Chapter 52 (Statutes of 2022)</w:t>
      </w:r>
      <w:r w:rsidR="002637A8" w:rsidRPr="00C6764E">
        <w:rPr>
          <w:rFonts w:cs="Arial"/>
          <w:szCs w:val="24"/>
        </w:rPr>
        <w:t>.</w:t>
      </w:r>
    </w:p>
    <w:p w14:paraId="3F246BCC" w14:textId="2943E874" w:rsidR="00173C8D" w:rsidRPr="00C6764E" w:rsidRDefault="008E21CE" w:rsidP="00950D38">
      <w:pPr>
        <w:pStyle w:val="ListParagraph"/>
        <w:numPr>
          <w:ilvl w:val="1"/>
          <w:numId w:val="12"/>
        </w:numPr>
        <w:spacing w:after="480"/>
        <w:ind w:left="1440" w:hanging="720"/>
      </w:pPr>
      <w:r w:rsidRPr="00950D38">
        <w:rPr>
          <w:rFonts w:cs="Arial"/>
          <w:szCs w:val="24"/>
        </w:rPr>
        <w:t>Added lines</w:t>
      </w:r>
      <w:r w:rsidR="002637A8" w:rsidRPr="00950D38">
        <w:rPr>
          <w:rFonts w:cs="Arial"/>
          <w:szCs w:val="24"/>
        </w:rPr>
        <w:t xml:space="preserve"> I-b1 and I-b2 to allow COE to enter the projected county operations grant and alternative education grant to calculate the COLA add-on amount.</w:t>
      </w:r>
    </w:p>
    <w:p w14:paraId="35597601" w14:textId="728F111B" w:rsidR="00173C8D" w:rsidRPr="00575371" w:rsidRDefault="00173C8D" w:rsidP="00950D38">
      <w:pPr>
        <w:pStyle w:val="Heading2"/>
        <w:spacing w:after="240"/>
        <w:rPr>
          <w:b/>
          <w:u w:val="none"/>
        </w:rPr>
      </w:pPr>
      <w:r w:rsidRPr="00575371">
        <w:rPr>
          <w:b/>
          <w:u w:val="none"/>
        </w:rPr>
        <w:lastRenderedPageBreak/>
        <w:t>Technical Review Checks—Revised</w:t>
      </w:r>
    </w:p>
    <w:p w14:paraId="4410DD01" w14:textId="77777777" w:rsidR="00173C8D" w:rsidRPr="00C6764E" w:rsidRDefault="00173C8D" w:rsidP="00173C8D">
      <w:pPr>
        <w:rPr>
          <w:b/>
          <w:bCs/>
        </w:rPr>
      </w:pPr>
      <w:r w:rsidRPr="00C6764E">
        <w:rPr>
          <w:b/>
          <w:bCs/>
        </w:rPr>
        <w:t>ASSET-ACCUM-DEPR-NEG</w:t>
      </w:r>
    </w:p>
    <w:p w14:paraId="2384C974" w14:textId="70D38621" w:rsidR="00F45139" w:rsidRPr="00950D38" w:rsidRDefault="00D7368F" w:rsidP="00950D38">
      <w:pPr>
        <w:pStyle w:val="ListParagraph"/>
        <w:numPr>
          <w:ilvl w:val="0"/>
          <w:numId w:val="6"/>
        </w:numPr>
        <w:spacing w:after="240"/>
        <w:rPr>
          <w:bCs/>
        </w:rPr>
      </w:pPr>
      <w:r w:rsidRPr="00950D38">
        <w:rPr>
          <w:bCs/>
        </w:rPr>
        <w:t>Modified to check new data element for Object 9475, Accumulated Amortization-Subscription Assets, for both Governmental Activities (ASSET.GOV.AMORT.SUBSCRIPT.ASSETS.9475.END.BAL) and the Business-Type Activities</w:t>
      </w:r>
      <w:r w:rsidR="00F45139" w:rsidRPr="00950D38">
        <w:rPr>
          <w:bCs/>
        </w:rPr>
        <w:t xml:space="preserve"> (ASSET.BTYPE.AMORT.SUBSCRIPT.ASSETS.9475.END.BAL) sections.</w:t>
      </w:r>
    </w:p>
    <w:p w14:paraId="38312F5F" w14:textId="77777777" w:rsidR="00F45139" w:rsidRPr="00C6764E" w:rsidRDefault="00F45139" w:rsidP="00F45139">
      <w:pPr>
        <w:rPr>
          <w:bCs/>
        </w:rPr>
      </w:pPr>
      <w:r w:rsidRPr="00C6764E">
        <w:rPr>
          <w:b/>
          <w:bCs/>
        </w:rPr>
        <w:t>DEBT-ACTIVITY</w:t>
      </w:r>
    </w:p>
    <w:p w14:paraId="791BACA4" w14:textId="7150FE59" w:rsidR="00F45139" w:rsidRPr="00950D38" w:rsidRDefault="00F45139" w:rsidP="00950D38">
      <w:pPr>
        <w:pStyle w:val="ListParagraph"/>
        <w:numPr>
          <w:ilvl w:val="0"/>
          <w:numId w:val="6"/>
        </w:numPr>
        <w:spacing w:after="240"/>
        <w:rPr>
          <w:bCs/>
        </w:rPr>
      </w:pPr>
      <w:r w:rsidRPr="00950D38">
        <w:rPr>
          <w:bCs/>
        </w:rPr>
        <w:t>Modified to check new data element for Object 9660, Subscription Liability, for both Governmental Activities (DEBT.GOV.SUBSCRIPT.LIAB.9660.END.BAL) and Business-Type Activities (DEBT.BTYPE.SUBSCRIPT.LIAB.9660.END.BAL) sections.</w:t>
      </w:r>
    </w:p>
    <w:p w14:paraId="35BAF8DA" w14:textId="77777777" w:rsidR="00F45139" w:rsidRPr="00C6764E" w:rsidRDefault="00F45139" w:rsidP="00F45139">
      <w:pPr>
        <w:rPr>
          <w:bCs/>
        </w:rPr>
      </w:pPr>
      <w:r w:rsidRPr="00C6764E">
        <w:rPr>
          <w:b/>
          <w:bCs/>
        </w:rPr>
        <w:t>DEBT-POSITIVE</w:t>
      </w:r>
    </w:p>
    <w:p w14:paraId="60E9A4FA" w14:textId="3FC1C15F" w:rsidR="00862E4B" w:rsidRPr="00C75E7F" w:rsidRDefault="00F45139" w:rsidP="00C6764E">
      <w:pPr>
        <w:pStyle w:val="ListParagraph"/>
        <w:numPr>
          <w:ilvl w:val="0"/>
          <w:numId w:val="6"/>
        </w:numPr>
        <w:rPr>
          <w:b/>
        </w:rPr>
      </w:pPr>
      <w:r w:rsidRPr="00C6764E">
        <w:rPr>
          <w:bCs/>
        </w:rPr>
        <w:t>Modified to check new data element for Object 9660, Subscription Liability, for both Governmental Activities (DEBT.GOV.SUBSCRIPT.LIAB.9660.END.BAL) and Business-Type Activities (DEBT.BTYPE.SUBSCRIPT.LIAB.9660.END.BAL) sections.</w:t>
      </w:r>
      <w:bookmarkEnd w:id="0"/>
    </w:p>
    <w:p w14:paraId="61733D34" w14:textId="77777777" w:rsidR="00C75E7F" w:rsidRDefault="00C75E7F" w:rsidP="00C75E7F">
      <w:pPr>
        <w:rPr>
          <w:b/>
        </w:rPr>
      </w:pPr>
    </w:p>
    <w:p w14:paraId="48859D35" w14:textId="77777777" w:rsidR="00C75E7F" w:rsidRDefault="00C75E7F" w:rsidP="00C75E7F">
      <w:pPr>
        <w:rPr>
          <w:b/>
        </w:rPr>
      </w:pPr>
    </w:p>
    <w:p w14:paraId="431DF109" w14:textId="15FAFD0A" w:rsidR="00C75E7F" w:rsidRPr="00C75E7F" w:rsidRDefault="00C75E7F" w:rsidP="00C75E7F">
      <w:pPr>
        <w:rPr>
          <w:bCs/>
        </w:rPr>
      </w:pPr>
      <w:r w:rsidRPr="00C75E7F">
        <w:rPr>
          <w:bCs/>
        </w:rPr>
        <w:t>[Post to the California Department of Education website May 2023]</w:t>
      </w:r>
    </w:p>
    <w:sectPr w:rsidR="00C75E7F" w:rsidRPr="00C7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F2F"/>
    <w:multiLevelType w:val="hybridMultilevel"/>
    <w:tmpl w:val="049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468"/>
    <w:multiLevelType w:val="hybridMultilevel"/>
    <w:tmpl w:val="BC1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8FD"/>
    <w:multiLevelType w:val="hybridMultilevel"/>
    <w:tmpl w:val="C1C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6FD4"/>
    <w:multiLevelType w:val="hybridMultilevel"/>
    <w:tmpl w:val="FEB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54D"/>
    <w:multiLevelType w:val="hybridMultilevel"/>
    <w:tmpl w:val="04A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65501"/>
    <w:multiLevelType w:val="hybridMultilevel"/>
    <w:tmpl w:val="D51A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B53"/>
    <w:multiLevelType w:val="hybridMultilevel"/>
    <w:tmpl w:val="BCA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5B2C"/>
    <w:multiLevelType w:val="hybridMultilevel"/>
    <w:tmpl w:val="3E7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73D58"/>
    <w:multiLevelType w:val="hybridMultilevel"/>
    <w:tmpl w:val="C5A2665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6D117C5B"/>
    <w:multiLevelType w:val="hybridMultilevel"/>
    <w:tmpl w:val="98A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B4AD4"/>
    <w:multiLevelType w:val="hybridMultilevel"/>
    <w:tmpl w:val="E39A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0625">
    <w:abstractNumId w:val="8"/>
  </w:num>
  <w:num w:numId="2" w16cid:durableId="1657881401">
    <w:abstractNumId w:val="4"/>
  </w:num>
  <w:num w:numId="3" w16cid:durableId="757681061">
    <w:abstractNumId w:val="9"/>
  </w:num>
  <w:num w:numId="4" w16cid:durableId="201867279">
    <w:abstractNumId w:val="3"/>
  </w:num>
  <w:num w:numId="5" w16cid:durableId="326252085">
    <w:abstractNumId w:val="2"/>
  </w:num>
  <w:num w:numId="6" w16cid:durableId="1255750239">
    <w:abstractNumId w:val="6"/>
  </w:num>
  <w:num w:numId="7" w16cid:durableId="507988652">
    <w:abstractNumId w:val="5"/>
  </w:num>
  <w:num w:numId="8" w16cid:durableId="511992078">
    <w:abstractNumId w:val="1"/>
  </w:num>
  <w:num w:numId="9" w16cid:durableId="907113072">
    <w:abstractNumId w:val="7"/>
  </w:num>
  <w:num w:numId="10" w16cid:durableId="209153497">
    <w:abstractNumId w:val="10"/>
  </w:num>
  <w:num w:numId="11" w16cid:durableId="912544598">
    <w:abstractNumId w:val="0"/>
  </w:num>
  <w:num w:numId="12" w16cid:durableId="17241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D"/>
    <w:rsid w:val="000756FB"/>
    <w:rsid w:val="00096E97"/>
    <w:rsid w:val="000A3C79"/>
    <w:rsid w:val="00112BA0"/>
    <w:rsid w:val="00173C8D"/>
    <w:rsid w:val="0019524B"/>
    <w:rsid w:val="001E702A"/>
    <w:rsid w:val="0022382B"/>
    <w:rsid w:val="002637A8"/>
    <w:rsid w:val="002B0182"/>
    <w:rsid w:val="002E12BE"/>
    <w:rsid w:val="00303574"/>
    <w:rsid w:val="00344667"/>
    <w:rsid w:val="00344D3A"/>
    <w:rsid w:val="003751E1"/>
    <w:rsid w:val="003C7B50"/>
    <w:rsid w:val="004A4AC1"/>
    <w:rsid w:val="00531851"/>
    <w:rsid w:val="00575371"/>
    <w:rsid w:val="00616FE9"/>
    <w:rsid w:val="00631576"/>
    <w:rsid w:val="00681E94"/>
    <w:rsid w:val="006C5E9D"/>
    <w:rsid w:val="006E745E"/>
    <w:rsid w:val="00760A63"/>
    <w:rsid w:val="00763AFE"/>
    <w:rsid w:val="007B38B9"/>
    <w:rsid w:val="007C48BC"/>
    <w:rsid w:val="007D4188"/>
    <w:rsid w:val="00861ECE"/>
    <w:rsid w:val="00862E4B"/>
    <w:rsid w:val="008E21CE"/>
    <w:rsid w:val="00900C43"/>
    <w:rsid w:val="009305B9"/>
    <w:rsid w:val="00932C6D"/>
    <w:rsid w:val="00950D38"/>
    <w:rsid w:val="009D6323"/>
    <w:rsid w:val="009F238F"/>
    <w:rsid w:val="00A62BCC"/>
    <w:rsid w:val="00A85910"/>
    <w:rsid w:val="00AE1AD3"/>
    <w:rsid w:val="00B314C4"/>
    <w:rsid w:val="00B57C61"/>
    <w:rsid w:val="00B81D14"/>
    <w:rsid w:val="00BA32CD"/>
    <w:rsid w:val="00BC58BE"/>
    <w:rsid w:val="00C43D53"/>
    <w:rsid w:val="00C6764E"/>
    <w:rsid w:val="00C75E7F"/>
    <w:rsid w:val="00D1373A"/>
    <w:rsid w:val="00D7368F"/>
    <w:rsid w:val="00EC5C75"/>
    <w:rsid w:val="00ED5C62"/>
    <w:rsid w:val="00EF725D"/>
    <w:rsid w:val="00F23CC4"/>
    <w:rsid w:val="00F45139"/>
    <w:rsid w:val="00F64183"/>
    <w:rsid w:val="00F7652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5659"/>
  <w15:chartTrackingRefBased/>
  <w15:docId w15:val="{F8C0F495-D812-4DE2-AD7A-1024B2B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8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3C8D"/>
    <w:pPr>
      <w:keepNext/>
      <w:widowControl w:val="0"/>
      <w:tabs>
        <w:tab w:val="center" w:pos="5040"/>
      </w:tabs>
      <w:suppressAutoHyphens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1"/>
    <w:qFormat/>
    <w:rsid w:val="00173C8D"/>
    <w:pPr>
      <w:keepNext/>
      <w:tabs>
        <w:tab w:val="center" w:pos="4860"/>
      </w:tabs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C8D"/>
    <w:rPr>
      <w:rFonts w:eastAsia="Times New Roman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173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rsid w:val="00173C8D"/>
    <w:rPr>
      <w:rFonts w:eastAsia="Times New Roman" w:cs="Arial"/>
      <w:szCs w:val="20"/>
      <w:u w:val="single"/>
    </w:rPr>
  </w:style>
  <w:style w:type="character" w:styleId="Hyperlink">
    <w:name w:val="Hyperlink"/>
    <w:autoRedefine/>
    <w:uiPriority w:val="99"/>
    <w:rsid w:val="00173C8D"/>
    <w:rPr>
      <w:rFonts w:ascii="Arial" w:hAnsi="Arial" w:cs="Arial"/>
      <w:iCs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73C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FCDE-D662-43EA-AFD9-B01BA72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2023 Budget What's New</vt:lpstr>
    </vt:vector>
  </TitlesOfParts>
  <Company>California Department of Education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2023 Budget What's New - Financial Reporting (CA Dept. of Education)</dc:title>
  <dc:subject>A list of new changes made to the 2023 SACS Web Budget Application.</dc:subject>
  <dc:creator>Kathryn Atienza</dc:creator>
  <cp:keywords/>
  <dc:description/>
  <cp:lastModifiedBy>Clayton Silva</cp:lastModifiedBy>
  <cp:revision>9</cp:revision>
  <dcterms:created xsi:type="dcterms:W3CDTF">2023-05-05T15:28:00Z</dcterms:created>
  <dcterms:modified xsi:type="dcterms:W3CDTF">2024-03-22T16:29:00Z</dcterms:modified>
</cp:coreProperties>
</file>