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5A3A" w14:textId="77777777" w:rsidR="00095D47" w:rsidRDefault="00095D47" w:rsidP="00095D47">
      <w:pPr>
        <w:pStyle w:val="Header"/>
        <w:spacing w:after="240"/>
        <w:jc w:val="right"/>
      </w:pPr>
      <w:bookmarkStart w:id="0" w:name="_GoBack"/>
      <w:bookmarkEnd w:id="0"/>
      <w:r>
        <w:t>California Department of Education</w:t>
      </w:r>
      <w:r>
        <w:br/>
        <w:t>May 2020</w:t>
      </w:r>
    </w:p>
    <w:p w14:paraId="7F740550" w14:textId="4C1660EE" w:rsidR="00C93F33" w:rsidRPr="0089400F" w:rsidRDefault="00C93F33" w:rsidP="0089400F">
      <w:pPr>
        <w:spacing w:after="240" w:line="240" w:lineRule="auto"/>
        <w:jc w:val="center"/>
        <w:rPr>
          <w:szCs w:val="24"/>
        </w:rPr>
      </w:pPr>
      <w:r w:rsidRPr="0089400F">
        <w:rPr>
          <w:b/>
          <w:i/>
          <w:noProof/>
          <w:szCs w:val="24"/>
        </w:rPr>
        <w:drawing>
          <wp:inline distT="0" distB="0" distL="0" distR="0" wp14:anchorId="3C0854E7" wp14:editId="1014FC2F">
            <wp:extent cx="1171575" cy="1104900"/>
            <wp:effectExtent l="0" t="0" r="9525" b="0"/>
            <wp:docPr id="1" name="Picture 1" descr="State of California Department of Educati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D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DB501" w14:textId="1EA3F998" w:rsidR="00E3104C" w:rsidRPr="0089400F" w:rsidRDefault="00C93F33" w:rsidP="0089400F">
      <w:pPr>
        <w:pStyle w:val="Heading1"/>
        <w:spacing w:before="240" w:after="240" w:line="240" w:lineRule="auto"/>
        <w:jc w:val="center"/>
        <w:rPr>
          <w:sz w:val="28"/>
          <w:szCs w:val="24"/>
        </w:rPr>
      </w:pPr>
      <w:r w:rsidRPr="0089400F">
        <w:rPr>
          <w:sz w:val="28"/>
          <w:szCs w:val="24"/>
        </w:rPr>
        <w:t>Identification Strategies in Response to Coronavirus</w:t>
      </w:r>
      <w:r w:rsidR="0089400F" w:rsidRPr="0089400F">
        <w:rPr>
          <w:sz w:val="28"/>
          <w:szCs w:val="24"/>
        </w:rPr>
        <w:t xml:space="preserve"> f</w:t>
      </w:r>
      <w:r w:rsidRPr="0089400F">
        <w:rPr>
          <w:sz w:val="28"/>
          <w:szCs w:val="24"/>
        </w:rPr>
        <w:t>or Homeless Students</w:t>
      </w:r>
      <w:r w:rsidR="006B76B7" w:rsidRPr="0089400F">
        <w:rPr>
          <w:sz w:val="28"/>
          <w:szCs w:val="24"/>
        </w:rPr>
        <w:t xml:space="preserve"> Overview</w:t>
      </w:r>
    </w:p>
    <w:p w14:paraId="3496E06D" w14:textId="66C339CF" w:rsidR="00133452" w:rsidRPr="0089400F" w:rsidRDefault="00133452" w:rsidP="0089400F">
      <w:pPr>
        <w:spacing w:before="240" w:after="240" w:line="240" w:lineRule="auto"/>
        <w:rPr>
          <w:szCs w:val="24"/>
        </w:rPr>
      </w:pPr>
      <w:r w:rsidRPr="0089400F">
        <w:rPr>
          <w:szCs w:val="24"/>
        </w:rPr>
        <w:t xml:space="preserve">The number of </w:t>
      </w:r>
      <w:r w:rsidR="00897213" w:rsidRPr="0089400F">
        <w:rPr>
          <w:szCs w:val="24"/>
        </w:rPr>
        <w:t>students meeti</w:t>
      </w:r>
      <w:r w:rsidR="0073159F" w:rsidRPr="0089400F">
        <w:rPr>
          <w:szCs w:val="24"/>
        </w:rPr>
        <w:t>ng the eligibility criteria of h</w:t>
      </w:r>
      <w:r w:rsidR="00897213" w:rsidRPr="0089400F">
        <w:rPr>
          <w:szCs w:val="24"/>
        </w:rPr>
        <w:t xml:space="preserve">omelessness may now be greater and more challenging to identify. That is why </w:t>
      </w:r>
      <w:r w:rsidR="0073159F" w:rsidRPr="0089400F">
        <w:rPr>
          <w:szCs w:val="24"/>
        </w:rPr>
        <w:t xml:space="preserve">the California Department of Education’s </w:t>
      </w:r>
      <w:r w:rsidR="003065FD" w:rsidRPr="0089400F">
        <w:rPr>
          <w:szCs w:val="24"/>
        </w:rPr>
        <w:t xml:space="preserve">(CDE) </w:t>
      </w:r>
      <w:r w:rsidR="0073159F" w:rsidRPr="0089400F">
        <w:rPr>
          <w:szCs w:val="24"/>
        </w:rPr>
        <w:t>Integrated Student Support and Programs Office</w:t>
      </w:r>
      <w:r w:rsidR="00897213" w:rsidRPr="0089400F">
        <w:rPr>
          <w:szCs w:val="24"/>
        </w:rPr>
        <w:t xml:space="preserve"> have developed the following strategies and resources to </w:t>
      </w:r>
      <w:r w:rsidR="0073159F" w:rsidRPr="0089400F">
        <w:rPr>
          <w:szCs w:val="24"/>
        </w:rPr>
        <w:t xml:space="preserve">better </w:t>
      </w:r>
      <w:r w:rsidR="00897213" w:rsidRPr="0089400F">
        <w:rPr>
          <w:szCs w:val="24"/>
        </w:rPr>
        <w:t xml:space="preserve">assist </w:t>
      </w:r>
      <w:r w:rsidR="00ED7ECB" w:rsidRPr="0089400F">
        <w:rPr>
          <w:szCs w:val="24"/>
        </w:rPr>
        <w:t>you.</w:t>
      </w:r>
    </w:p>
    <w:p w14:paraId="13F2969E" w14:textId="305CF9FA" w:rsidR="00897213" w:rsidRPr="0089400F" w:rsidRDefault="00133452" w:rsidP="0089400F">
      <w:pPr>
        <w:spacing w:before="240" w:after="240" w:line="240" w:lineRule="auto"/>
        <w:rPr>
          <w:szCs w:val="24"/>
        </w:rPr>
      </w:pPr>
      <w:r w:rsidRPr="0089400F">
        <w:rPr>
          <w:szCs w:val="24"/>
        </w:rPr>
        <w:t>For children and youth experiencing homelessness, the service</w:t>
      </w:r>
      <w:r w:rsidR="0073159F" w:rsidRPr="0089400F">
        <w:rPr>
          <w:szCs w:val="24"/>
        </w:rPr>
        <w:t>s you provide at your</w:t>
      </w:r>
      <w:r w:rsidR="00626A47" w:rsidRPr="0089400F">
        <w:rPr>
          <w:szCs w:val="24"/>
        </w:rPr>
        <w:t xml:space="preserve"> school site </w:t>
      </w:r>
      <w:r w:rsidR="00500669" w:rsidRPr="0089400F">
        <w:rPr>
          <w:szCs w:val="24"/>
        </w:rPr>
        <w:t>through your</w:t>
      </w:r>
      <w:r w:rsidR="0073159F" w:rsidRPr="0089400F">
        <w:rPr>
          <w:szCs w:val="24"/>
        </w:rPr>
        <w:t xml:space="preserve"> local educational agency (LEA) </w:t>
      </w:r>
      <w:r w:rsidRPr="0089400F">
        <w:rPr>
          <w:szCs w:val="24"/>
        </w:rPr>
        <w:t xml:space="preserve">may be the only source of food, education, consistent </w:t>
      </w:r>
      <w:r w:rsidR="00ED7ECB" w:rsidRPr="0089400F">
        <w:rPr>
          <w:szCs w:val="24"/>
        </w:rPr>
        <w:t>caring adults, and</w:t>
      </w:r>
      <w:r w:rsidRPr="0089400F">
        <w:rPr>
          <w:szCs w:val="24"/>
        </w:rPr>
        <w:t xml:space="preserve"> safe place to be during the day.</w:t>
      </w:r>
      <w:r w:rsidR="00D9016F" w:rsidRPr="0089400F">
        <w:rPr>
          <w:szCs w:val="24"/>
        </w:rPr>
        <w:t xml:space="preserve"> </w:t>
      </w:r>
      <w:r w:rsidRPr="0089400F">
        <w:rPr>
          <w:szCs w:val="24"/>
        </w:rPr>
        <w:t xml:space="preserve">Our students, children and youth experiencing homelessness are highly mobile, and are </w:t>
      </w:r>
      <w:r w:rsidR="0089400F">
        <w:rPr>
          <w:szCs w:val="24"/>
        </w:rPr>
        <w:t xml:space="preserve">at </w:t>
      </w:r>
      <w:r w:rsidRPr="0089400F">
        <w:rPr>
          <w:szCs w:val="24"/>
        </w:rPr>
        <w:t xml:space="preserve">many times unlikely to benefit from initiatives that are </w:t>
      </w:r>
      <w:r w:rsidR="00F80CD3" w:rsidRPr="0089400F">
        <w:rPr>
          <w:szCs w:val="24"/>
        </w:rPr>
        <w:t>based</w:t>
      </w:r>
      <w:r w:rsidRPr="0089400F">
        <w:rPr>
          <w:szCs w:val="24"/>
        </w:rPr>
        <w:t xml:space="preserve"> on a stable and safe home environment.</w:t>
      </w:r>
    </w:p>
    <w:p w14:paraId="5C88E8B0" w14:textId="77777777" w:rsidR="00897213" w:rsidRPr="0089400F" w:rsidRDefault="0073159F" w:rsidP="0089400F">
      <w:pPr>
        <w:spacing w:before="240" w:after="240" w:line="240" w:lineRule="auto"/>
        <w:rPr>
          <w:szCs w:val="24"/>
        </w:rPr>
      </w:pPr>
      <w:r w:rsidRPr="0089400F">
        <w:rPr>
          <w:szCs w:val="24"/>
        </w:rPr>
        <w:t>Please remember the following:</w:t>
      </w:r>
    </w:p>
    <w:p w14:paraId="0B53981C" w14:textId="55C8EDA6" w:rsidR="00897213" w:rsidRPr="0089400F" w:rsidRDefault="00897213" w:rsidP="0089400F">
      <w:pPr>
        <w:pStyle w:val="ListParagraph"/>
        <w:numPr>
          <w:ilvl w:val="0"/>
          <w:numId w:val="6"/>
        </w:numPr>
        <w:spacing w:before="240" w:after="240" w:line="240" w:lineRule="auto"/>
        <w:rPr>
          <w:szCs w:val="24"/>
        </w:rPr>
      </w:pPr>
      <w:r w:rsidRPr="0089400F">
        <w:rPr>
          <w:szCs w:val="24"/>
        </w:rPr>
        <w:t xml:space="preserve">Immediate </w:t>
      </w:r>
      <w:r w:rsidR="003065FD" w:rsidRPr="0089400F">
        <w:rPr>
          <w:szCs w:val="24"/>
        </w:rPr>
        <w:t>e</w:t>
      </w:r>
      <w:r w:rsidRPr="0089400F">
        <w:rPr>
          <w:szCs w:val="24"/>
        </w:rPr>
        <w:t>nrollment for families and students who lack fixed, regular</w:t>
      </w:r>
      <w:r w:rsidR="0089400F">
        <w:rPr>
          <w:szCs w:val="24"/>
        </w:rPr>
        <w:t>,</w:t>
      </w:r>
      <w:r w:rsidRPr="0089400F">
        <w:rPr>
          <w:szCs w:val="24"/>
        </w:rPr>
        <w:t xml:space="preserve"> or adequate housing including doubled</w:t>
      </w:r>
      <w:r w:rsidR="003065FD" w:rsidRPr="0089400F">
        <w:rPr>
          <w:szCs w:val="24"/>
        </w:rPr>
        <w:t>-u</w:t>
      </w:r>
      <w:r w:rsidRPr="0089400F">
        <w:rPr>
          <w:szCs w:val="24"/>
        </w:rPr>
        <w:t>p</w:t>
      </w:r>
      <w:r w:rsidR="003065FD" w:rsidRPr="0089400F">
        <w:rPr>
          <w:szCs w:val="24"/>
        </w:rPr>
        <w:t xml:space="preserve">, </w:t>
      </w:r>
      <w:r w:rsidRPr="0089400F">
        <w:rPr>
          <w:szCs w:val="24"/>
        </w:rPr>
        <w:t>due to economic hardship</w:t>
      </w:r>
      <w:r w:rsidR="003065FD" w:rsidRPr="0089400F">
        <w:rPr>
          <w:szCs w:val="24"/>
        </w:rPr>
        <w:t>, loss of housing, and natural disasters</w:t>
      </w:r>
      <w:r w:rsidR="0089400F">
        <w:rPr>
          <w:szCs w:val="24"/>
        </w:rPr>
        <w:t xml:space="preserve"> is required:</w:t>
      </w:r>
    </w:p>
    <w:p w14:paraId="4F799499" w14:textId="1BAE3E71" w:rsidR="003065FD" w:rsidRPr="0089400F" w:rsidRDefault="003065FD" w:rsidP="0089400F">
      <w:pPr>
        <w:numPr>
          <w:ilvl w:val="1"/>
          <w:numId w:val="3"/>
        </w:numPr>
        <w:spacing w:before="240" w:after="240" w:line="240" w:lineRule="auto"/>
        <w:rPr>
          <w:szCs w:val="24"/>
        </w:rPr>
      </w:pPr>
      <w:r w:rsidRPr="0089400F">
        <w:rPr>
          <w:szCs w:val="24"/>
        </w:rPr>
        <w:t>Even without documentation typically needed to enroll, including school records</w:t>
      </w:r>
      <w:r w:rsidRPr="0089400F">
        <w:rPr>
          <w:b/>
          <w:bCs/>
          <w:szCs w:val="24"/>
        </w:rPr>
        <w:t>,</w:t>
      </w:r>
      <w:r w:rsidRPr="0089400F">
        <w:rPr>
          <w:szCs w:val="24"/>
        </w:rPr>
        <w:t xml:space="preserve"> immunizations or other required health records</w:t>
      </w:r>
      <w:r w:rsidRPr="0089400F">
        <w:rPr>
          <w:b/>
          <w:bCs/>
          <w:szCs w:val="24"/>
        </w:rPr>
        <w:t xml:space="preserve">, </w:t>
      </w:r>
      <w:r w:rsidRPr="0089400F">
        <w:rPr>
          <w:szCs w:val="24"/>
        </w:rPr>
        <w:t>proof of residency, or guardianship</w:t>
      </w:r>
    </w:p>
    <w:p w14:paraId="20FF1A6E" w14:textId="50557AB3" w:rsidR="002B464B" w:rsidRPr="0089400F" w:rsidRDefault="00801192" w:rsidP="0089400F">
      <w:pPr>
        <w:numPr>
          <w:ilvl w:val="1"/>
          <w:numId w:val="3"/>
        </w:numPr>
        <w:spacing w:before="240" w:after="240" w:line="240" w:lineRule="auto"/>
        <w:rPr>
          <w:szCs w:val="24"/>
        </w:rPr>
      </w:pPr>
      <w:r w:rsidRPr="0089400F">
        <w:rPr>
          <w:szCs w:val="24"/>
        </w:rPr>
        <w:t>Enroll and enrollment means attending classes and participa</w:t>
      </w:r>
      <w:r w:rsidR="00897213" w:rsidRPr="0089400F">
        <w:rPr>
          <w:szCs w:val="24"/>
        </w:rPr>
        <w:t>ting fully in school activities</w:t>
      </w:r>
    </w:p>
    <w:p w14:paraId="6A758E06" w14:textId="75B7C51D" w:rsidR="00137159" w:rsidRPr="0089400F" w:rsidRDefault="00B46646" w:rsidP="0089400F">
      <w:pPr>
        <w:pStyle w:val="ListParagraph"/>
        <w:numPr>
          <w:ilvl w:val="0"/>
          <w:numId w:val="6"/>
        </w:numPr>
        <w:spacing w:before="240" w:after="240" w:line="240" w:lineRule="auto"/>
        <w:contextualSpacing w:val="0"/>
        <w:rPr>
          <w:szCs w:val="24"/>
        </w:rPr>
      </w:pPr>
      <w:r w:rsidRPr="0089400F">
        <w:rPr>
          <w:szCs w:val="24"/>
        </w:rPr>
        <w:t xml:space="preserve">Continue to share your </w:t>
      </w:r>
      <w:r w:rsidR="00500669" w:rsidRPr="0089400F">
        <w:rPr>
          <w:szCs w:val="24"/>
        </w:rPr>
        <w:t xml:space="preserve">homeless liaison </w:t>
      </w:r>
      <w:r w:rsidRPr="0089400F">
        <w:rPr>
          <w:szCs w:val="24"/>
        </w:rPr>
        <w:t>cont</w:t>
      </w:r>
      <w:r w:rsidR="0073159F" w:rsidRPr="0089400F">
        <w:rPr>
          <w:szCs w:val="24"/>
        </w:rPr>
        <w:t>act information and posters that include the educational</w:t>
      </w:r>
      <w:r w:rsidRPr="0089400F">
        <w:rPr>
          <w:szCs w:val="24"/>
        </w:rPr>
        <w:t xml:space="preserve"> rights </w:t>
      </w:r>
      <w:r w:rsidR="0073159F" w:rsidRPr="0089400F">
        <w:rPr>
          <w:szCs w:val="24"/>
        </w:rPr>
        <w:t xml:space="preserve">afforded to youth experiencing homelessness </w:t>
      </w:r>
      <w:r w:rsidRPr="0089400F">
        <w:rPr>
          <w:szCs w:val="24"/>
        </w:rPr>
        <w:t xml:space="preserve">in any/all areas as possible. </w:t>
      </w:r>
      <w:r w:rsidR="00500669" w:rsidRPr="0089400F">
        <w:rPr>
          <w:szCs w:val="24"/>
        </w:rPr>
        <w:t xml:space="preserve">The </w:t>
      </w:r>
      <w:r w:rsidR="003065FD" w:rsidRPr="0089400F">
        <w:rPr>
          <w:szCs w:val="24"/>
        </w:rPr>
        <w:t>CDE can provide free</w:t>
      </w:r>
      <w:r w:rsidR="00500669" w:rsidRPr="0089400F">
        <w:rPr>
          <w:szCs w:val="24"/>
        </w:rPr>
        <w:t xml:space="preserve"> </w:t>
      </w:r>
      <w:r w:rsidR="003065FD" w:rsidRPr="0089400F">
        <w:rPr>
          <w:szCs w:val="24"/>
        </w:rPr>
        <w:t>homeless education p</w:t>
      </w:r>
      <w:r w:rsidR="00500669" w:rsidRPr="0089400F">
        <w:rPr>
          <w:szCs w:val="24"/>
        </w:rPr>
        <w:t>osters</w:t>
      </w:r>
      <w:r w:rsidR="003065FD" w:rsidRPr="0089400F">
        <w:rPr>
          <w:szCs w:val="24"/>
        </w:rPr>
        <w:t xml:space="preserve"> in English and Spanish. You can also access the poster in six different languages on the CDE</w:t>
      </w:r>
      <w:r w:rsidR="00E34665">
        <w:rPr>
          <w:szCs w:val="24"/>
        </w:rPr>
        <w:t>’s</w:t>
      </w:r>
      <w:r w:rsidR="003065FD" w:rsidRPr="0089400F">
        <w:rPr>
          <w:szCs w:val="24"/>
        </w:rPr>
        <w:t xml:space="preserve"> Resources for Homeless Children and Youth web </w:t>
      </w:r>
      <w:r w:rsidR="00E34665">
        <w:rPr>
          <w:szCs w:val="24"/>
        </w:rPr>
        <w:t>page</w:t>
      </w:r>
      <w:r w:rsidR="0089400F">
        <w:rPr>
          <w:szCs w:val="24"/>
        </w:rPr>
        <w:t xml:space="preserve"> (</w:t>
      </w:r>
      <w:hyperlink r:id="rId9" w:tooltip="CDE’s Resources for Homeless Children and Youth web page" w:history="1">
        <w:r w:rsidR="0089400F" w:rsidRPr="00DA5BEA">
          <w:rPr>
            <w:rStyle w:val="Hyperlink"/>
            <w:szCs w:val="24"/>
          </w:rPr>
          <w:t>https://www.cde.ca.gov/sp/hs/</w:t>
        </w:r>
      </w:hyperlink>
      <w:r w:rsidR="0089400F">
        <w:rPr>
          <w:szCs w:val="24"/>
        </w:rPr>
        <w:t>)</w:t>
      </w:r>
    </w:p>
    <w:p w14:paraId="74530745" w14:textId="44E3AEB1" w:rsidR="00996423" w:rsidRPr="0089400F" w:rsidRDefault="00996423" w:rsidP="0089400F">
      <w:pPr>
        <w:pStyle w:val="ListParagraph"/>
        <w:numPr>
          <w:ilvl w:val="0"/>
          <w:numId w:val="6"/>
        </w:numPr>
        <w:spacing w:before="240" w:after="240" w:line="240" w:lineRule="auto"/>
        <w:contextualSpacing w:val="0"/>
        <w:rPr>
          <w:szCs w:val="24"/>
        </w:rPr>
      </w:pPr>
      <w:r w:rsidRPr="0089400F">
        <w:rPr>
          <w:b/>
          <w:szCs w:val="24"/>
        </w:rPr>
        <w:t>Remind teachers</w:t>
      </w:r>
      <w:r w:rsidRPr="0089400F">
        <w:rPr>
          <w:szCs w:val="24"/>
        </w:rPr>
        <w:t xml:space="preserve"> of the definition of homelessness and how to reach </w:t>
      </w:r>
      <w:r w:rsidR="00137159" w:rsidRPr="0089400F">
        <w:rPr>
          <w:szCs w:val="24"/>
        </w:rPr>
        <w:t xml:space="preserve">the </w:t>
      </w:r>
      <w:r w:rsidR="00500669" w:rsidRPr="0089400F">
        <w:rPr>
          <w:szCs w:val="24"/>
        </w:rPr>
        <w:t>homeless liaison</w:t>
      </w:r>
      <w:r w:rsidRPr="0089400F">
        <w:rPr>
          <w:szCs w:val="24"/>
        </w:rPr>
        <w:t xml:space="preserve">. </w:t>
      </w:r>
      <w:r w:rsidR="00137159" w:rsidRPr="0089400F">
        <w:rPr>
          <w:szCs w:val="24"/>
        </w:rPr>
        <w:t xml:space="preserve">Teachers are communicating directly with families. They are </w:t>
      </w:r>
      <w:r w:rsidRPr="0089400F">
        <w:rPr>
          <w:szCs w:val="24"/>
        </w:rPr>
        <w:lastRenderedPageBreak/>
        <w:t xml:space="preserve">working with students via online or distance learning and </w:t>
      </w:r>
      <w:r w:rsidR="00137159" w:rsidRPr="0089400F">
        <w:rPr>
          <w:b/>
          <w:szCs w:val="24"/>
        </w:rPr>
        <w:t>can</w:t>
      </w:r>
      <w:r w:rsidRPr="0089400F">
        <w:rPr>
          <w:b/>
          <w:szCs w:val="24"/>
        </w:rPr>
        <w:t xml:space="preserve"> be the first to find out if a student is in need</w:t>
      </w:r>
      <w:r w:rsidR="00137159" w:rsidRPr="0089400F">
        <w:rPr>
          <w:szCs w:val="24"/>
        </w:rPr>
        <w:t>. T</w:t>
      </w:r>
      <w:r w:rsidRPr="0089400F">
        <w:rPr>
          <w:szCs w:val="24"/>
        </w:rPr>
        <w:t>hey should know how to contact their liaison</w:t>
      </w:r>
      <w:r w:rsidR="00137159" w:rsidRPr="0089400F">
        <w:rPr>
          <w:szCs w:val="24"/>
        </w:rPr>
        <w:t xml:space="preserve"> and other resources in the community</w:t>
      </w:r>
      <w:r w:rsidRPr="0089400F">
        <w:rPr>
          <w:szCs w:val="24"/>
        </w:rPr>
        <w:t xml:space="preserve">. Record a video or </w:t>
      </w:r>
      <w:r w:rsidR="00500669" w:rsidRPr="0089400F">
        <w:rPr>
          <w:szCs w:val="24"/>
        </w:rPr>
        <w:t xml:space="preserve">develop an </w:t>
      </w:r>
      <w:r w:rsidRPr="0089400F">
        <w:rPr>
          <w:szCs w:val="24"/>
        </w:rPr>
        <w:t>email message for families that the teacher can forward to families</w:t>
      </w:r>
    </w:p>
    <w:p w14:paraId="435EB297" w14:textId="69463171" w:rsidR="003A7E6D" w:rsidRPr="0089400F" w:rsidRDefault="003A7E6D" w:rsidP="0089400F">
      <w:pPr>
        <w:pStyle w:val="ListParagraph"/>
        <w:numPr>
          <w:ilvl w:val="0"/>
          <w:numId w:val="6"/>
        </w:numPr>
        <w:spacing w:before="240" w:after="240" w:line="240" w:lineRule="auto"/>
        <w:contextualSpacing w:val="0"/>
        <w:rPr>
          <w:szCs w:val="24"/>
        </w:rPr>
      </w:pPr>
      <w:r w:rsidRPr="0089400F">
        <w:rPr>
          <w:szCs w:val="24"/>
        </w:rPr>
        <w:t>Ensure that all teachers, staff and leadership know who the liaison from the county office of education, district and school site are and how they can be reached year-round</w:t>
      </w:r>
    </w:p>
    <w:p w14:paraId="4386C66F" w14:textId="39F0E321" w:rsidR="00996423" w:rsidRPr="0089400F" w:rsidRDefault="00996423" w:rsidP="0089400F">
      <w:pPr>
        <w:pStyle w:val="ListParagraph"/>
        <w:numPr>
          <w:ilvl w:val="0"/>
          <w:numId w:val="6"/>
        </w:numPr>
        <w:spacing w:before="240" w:after="240" w:line="240" w:lineRule="auto"/>
        <w:contextualSpacing w:val="0"/>
        <w:rPr>
          <w:szCs w:val="24"/>
        </w:rPr>
      </w:pPr>
      <w:r w:rsidRPr="0089400F">
        <w:rPr>
          <w:szCs w:val="24"/>
        </w:rPr>
        <w:t>Remind teachers</w:t>
      </w:r>
      <w:r w:rsidR="00137159" w:rsidRPr="0089400F">
        <w:rPr>
          <w:szCs w:val="24"/>
        </w:rPr>
        <w:t>,</w:t>
      </w:r>
      <w:r w:rsidRPr="0089400F">
        <w:rPr>
          <w:szCs w:val="24"/>
        </w:rPr>
        <w:t xml:space="preserve"> </w:t>
      </w:r>
      <w:r w:rsidR="00500669" w:rsidRPr="0089400F">
        <w:rPr>
          <w:szCs w:val="24"/>
        </w:rPr>
        <w:t xml:space="preserve">at </w:t>
      </w:r>
      <w:r w:rsidRPr="0089400F">
        <w:rPr>
          <w:szCs w:val="24"/>
        </w:rPr>
        <w:t xml:space="preserve">staff meetings </w:t>
      </w:r>
      <w:r w:rsidR="00500669" w:rsidRPr="0089400F">
        <w:rPr>
          <w:szCs w:val="24"/>
        </w:rPr>
        <w:t xml:space="preserve">or </w:t>
      </w:r>
      <w:r w:rsidRPr="0089400F">
        <w:rPr>
          <w:szCs w:val="24"/>
        </w:rPr>
        <w:t>when meeting</w:t>
      </w:r>
      <w:r w:rsidR="0089400F" w:rsidRPr="0089400F">
        <w:rPr>
          <w:szCs w:val="24"/>
        </w:rPr>
        <w:t xml:space="preserve"> if possible</w:t>
      </w:r>
      <w:r w:rsidR="00137159" w:rsidRPr="0089400F">
        <w:rPr>
          <w:szCs w:val="24"/>
        </w:rPr>
        <w:t xml:space="preserve">, to be flexible. Homeless students might need to </w:t>
      </w:r>
      <w:r w:rsidRPr="0089400F">
        <w:rPr>
          <w:szCs w:val="24"/>
        </w:rPr>
        <w:t xml:space="preserve">have additional </w:t>
      </w:r>
      <w:r w:rsidR="00137159" w:rsidRPr="0089400F">
        <w:rPr>
          <w:szCs w:val="24"/>
        </w:rPr>
        <w:t>time for assignments</w:t>
      </w:r>
      <w:r w:rsidRPr="0089400F">
        <w:rPr>
          <w:szCs w:val="24"/>
        </w:rPr>
        <w:t xml:space="preserve"> and </w:t>
      </w:r>
      <w:r w:rsidR="00137159" w:rsidRPr="0089400F">
        <w:rPr>
          <w:szCs w:val="24"/>
        </w:rPr>
        <w:t xml:space="preserve">might </w:t>
      </w:r>
      <w:r w:rsidRPr="0089400F">
        <w:rPr>
          <w:szCs w:val="24"/>
        </w:rPr>
        <w:t>not be receiving notifications</w:t>
      </w:r>
      <w:r w:rsidR="00137159" w:rsidRPr="0089400F">
        <w:rPr>
          <w:szCs w:val="24"/>
        </w:rPr>
        <w:t xml:space="preserve"> from the teachers and/or school. Students and their families</w:t>
      </w:r>
      <w:r w:rsidRPr="0089400F">
        <w:rPr>
          <w:szCs w:val="24"/>
        </w:rPr>
        <w:t xml:space="preserve"> may need additional time to get learning materials (</w:t>
      </w:r>
      <w:r w:rsidR="0089400F">
        <w:rPr>
          <w:szCs w:val="24"/>
        </w:rPr>
        <w:t>e.g</w:t>
      </w:r>
      <w:r w:rsidRPr="0089400F">
        <w:rPr>
          <w:szCs w:val="24"/>
        </w:rPr>
        <w:t>. may need transportation from the liaison to get Chromebook)</w:t>
      </w:r>
    </w:p>
    <w:p w14:paraId="7C31A0DE" w14:textId="572F0B1B" w:rsidR="00B46646" w:rsidRPr="0089400F" w:rsidRDefault="00911E49" w:rsidP="0089400F">
      <w:pPr>
        <w:spacing w:before="240" w:after="240" w:line="240" w:lineRule="auto"/>
        <w:ind w:left="720"/>
        <w:rPr>
          <w:szCs w:val="24"/>
        </w:rPr>
      </w:pPr>
      <w:r w:rsidRPr="0089400F">
        <w:rPr>
          <w:szCs w:val="24"/>
        </w:rPr>
        <w:t xml:space="preserve">When updating resources for families and staff, including web sites, please add </w:t>
      </w:r>
      <w:r w:rsidR="00CE4E30" w:rsidRPr="0089400F">
        <w:rPr>
          <w:szCs w:val="24"/>
        </w:rPr>
        <w:t xml:space="preserve">the local liaison’s </w:t>
      </w:r>
      <w:r w:rsidRPr="0089400F">
        <w:rPr>
          <w:szCs w:val="24"/>
        </w:rPr>
        <w:t xml:space="preserve">contact information. </w:t>
      </w:r>
      <w:r w:rsidR="00500669" w:rsidRPr="0089400F">
        <w:rPr>
          <w:szCs w:val="24"/>
        </w:rPr>
        <w:t xml:space="preserve">The </w:t>
      </w:r>
      <w:r w:rsidR="003A7E6D" w:rsidRPr="0089400F">
        <w:rPr>
          <w:szCs w:val="24"/>
        </w:rPr>
        <w:t>CDE</w:t>
      </w:r>
      <w:r w:rsidR="00500669" w:rsidRPr="0089400F">
        <w:rPr>
          <w:szCs w:val="24"/>
        </w:rPr>
        <w:t xml:space="preserve"> has a list of </w:t>
      </w:r>
      <w:r w:rsidR="003A7E6D" w:rsidRPr="0089400F">
        <w:rPr>
          <w:szCs w:val="24"/>
        </w:rPr>
        <w:t xml:space="preserve">all liaisons and their contacts on the CDE’s Homeless Education web </w:t>
      </w:r>
      <w:r w:rsidR="00E34665">
        <w:rPr>
          <w:szCs w:val="24"/>
        </w:rPr>
        <w:t>page (</w:t>
      </w:r>
      <w:hyperlink r:id="rId10" w:tooltip="CDE’s Homeless Education web page" w:history="1">
        <w:r w:rsidR="00E34665" w:rsidRPr="00DA5BEA">
          <w:rPr>
            <w:rStyle w:val="Hyperlink"/>
            <w:szCs w:val="24"/>
          </w:rPr>
          <w:t>https://www.cde.ca.gov/sp/hs/</w:t>
        </w:r>
      </w:hyperlink>
      <w:r w:rsidR="00E34665">
        <w:rPr>
          <w:szCs w:val="24"/>
        </w:rPr>
        <w:t>)</w:t>
      </w:r>
    </w:p>
    <w:p w14:paraId="60C5DE86" w14:textId="2F250300" w:rsidR="002A1434" w:rsidRPr="0089400F" w:rsidRDefault="00B46646" w:rsidP="0089400F">
      <w:pPr>
        <w:spacing w:before="240" w:after="240" w:line="240" w:lineRule="auto"/>
        <w:ind w:left="720"/>
        <w:rPr>
          <w:szCs w:val="24"/>
        </w:rPr>
      </w:pPr>
      <w:r w:rsidRPr="0089400F">
        <w:rPr>
          <w:szCs w:val="24"/>
        </w:rPr>
        <w:t xml:space="preserve">When guidance is being developed at the district and school levels, ensure the </w:t>
      </w:r>
      <w:r w:rsidR="00500669" w:rsidRPr="0089400F">
        <w:rPr>
          <w:szCs w:val="24"/>
        </w:rPr>
        <w:t>h</w:t>
      </w:r>
      <w:r w:rsidRPr="0089400F">
        <w:rPr>
          <w:szCs w:val="24"/>
        </w:rPr>
        <w:t xml:space="preserve">omeless </w:t>
      </w:r>
      <w:r w:rsidR="00500669" w:rsidRPr="0089400F">
        <w:rPr>
          <w:szCs w:val="24"/>
        </w:rPr>
        <w:t>l</w:t>
      </w:r>
      <w:r w:rsidRPr="0089400F">
        <w:rPr>
          <w:szCs w:val="24"/>
        </w:rPr>
        <w:t xml:space="preserve">iaison is </w:t>
      </w:r>
      <w:r w:rsidR="00DA565B" w:rsidRPr="0089400F">
        <w:rPr>
          <w:szCs w:val="24"/>
        </w:rPr>
        <w:t xml:space="preserve">included in </w:t>
      </w:r>
      <w:r w:rsidRPr="0089400F">
        <w:rPr>
          <w:szCs w:val="24"/>
        </w:rPr>
        <w:t>the development and delivery of services or guidance.</w:t>
      </w:r>
      <w:r w:rsidR="00DA565B" w:rsidRPr="0089400F">
        <w:rPr>
          <w:szCs w:val="24"/>
        </w:rPr>
        <w:t xml:space="preserve"> </w:t>
      </w:r>
      <w:r w:rsidRPr="0089400F">
        <w:rPr>
          <w:szCs w:val="24"/>
        </w:rPr>
        <w:t xml:space="preserve">Use the homeless </w:t>
      </w:r>
      <w:r w:rsidR="00DA565B" w:rsidRPr="0089400F">
        <w:rPr>
          <w:szCs w:val="24"/>
        </w:rPr>
        <w:t xml:space="preserve">liaison </w:t>
      </w:r>
      <w:r w:rsidRPr="0089400F">
        <w:rPr>
          <w:szCs w:val="24"/>
        </w:rPr>
        <w:t>to reach out to families</w:t>
      </w:r>
      <w:r w:rsidR="00500669" w:rsidRPr="0089400F">
        <w:rPr>
          <w:szCs w:val="24"/>
        </w:rPr>
        <w:t xml:space="preserve">. </w:t>
      </w:r>
      <w:r w:rsidR="00DA565B" w:rsidRPr="0089400F">
        <w:rPr>
          <w:szCs w:val="24"/>
        </w:rPr>
        <w:t xml:space="preserve">LEAs need to consult with </w:t>
      </w:r>
      <w:r w:rsidR="00500669" w:rsidRPr="0089400F">
        <w:rPr>
          <w:szCs w:val="24"/>
        </w:rPr>
        <w:t xml:space="preserve">homeless liaisons </w:t>
      </w:r>
      <w:r w:rsidRPr="0089400F">
        <w:rPr>
          <w:szCs w:val="24"/>
        </w:rPr>
        <w:t>to ensure the plans meet the n</w:t>
      </w:r>
      <w:r w:rsidR="002A1434" w:rsidRPr="0089400F">
        <w:rPr>
          <w:szCs w:val="24"/>
        </w:rPr>
        <w:t>eeds of these students as well</w:t>
      </w:r>
    </w:p>
    <w:p w14:paraId="0B9E24A3" w14:textId="7C7D0C1A" w:rsidR="00CE4E30" w:rsidRPr="0089400F" w:rsidRDefault="00496E97" w:rsidP="0089400F">
      <w:pPr>
        <w:pStyle w:val="ListParagraph"/>
        <w:numPr>
          <w:ilvl w:val="0"/>
          <w:numId w:val="6"/>
        </w:numPr>
        <w:spacing w:before="240" w:after="240" w:line="240" w:lineRule="auto"/>
        <w:contextualSpacing w:val="0"/>
        <w:rPr>
          <w:szCs w:val="24"/>
        </w:rPr>
      </w:pPr>
      <w:r w:rsidRPr="0089400F">
        <w:rPr>
          <w:b/>
          <w:szCs w:val="24"/>
        </w:rPr>
        <w:t>Reach out often</w:t>
      </w:r>
      <w:r w:rsidRPr="0089400F">
        <w:rPr>
          <w:szCs w:val="24"/>
        </w:rPr>
        <w:t xml:space="preserve"> to families and youth currently identified as homeless to monitor their current living situations, health, safety, basic and education needs.</w:t>
      </w:r>
      <w:r w:rsidR="00CE4E30" w:rsidRPr="0089400F">
        <w:rPr>
          <w:szCs w:val="24"/>
        </w:rPr>
        <w:t xml:space="preserve"> When connecting with students, </w:t>
      </w:r>
      <w:r w:rsidR="00500669" w:rsidRPr="0089400F">
        <w:rPr>
          <w:b/>
          <w:szCs w:val="24"/>
        </w:rPr>
        <w:t xml:space="preserve">don’t forget </w:t>
      </w:r>
      <w:r w:rsidR="00CE4E30" w:rsidRPr="0089400F">
        <w:rPr>
          <w:b/>
          <w:szCs w:val="24"/>
        </w:rPr>
        <w:t xml:space="preserve">those </w:t>
      </w:r>
      <w:r w:rsidR="00500669" w:rsidRPr="0089400F">
        <w:rPr>
          <w:b/>
          <w:szCs w:val="24"/>
        </w:rPr>
        <w:t xml:space="preserve">students </w:t>
      </w:r>
      <w:r w:rsidR="00CE4E30" w:rsidRPr="0089400F">
        <w:rPr>
          <w:b/>
          <w:szCs w:val="24"/>
        </w:rPr>
        <w:t>who were or may be at risk for homelessness</w:t>
      </w:r>
      <w:r w:rsidR="00CE4E30" w:rsidRPr="0089400F">
        <w:rPr>
          <w:szCs w:val="24"/>
        </w:rPr>
        <w:t xml:space="preserve"> for example:</w:t>
      </w:r>
    </w:p>
    <w:p w14:paraId="4CF048D9" w14:textId="7CC4D9F8" w:rsidR="00CE4E30" w:rsidRPr="0089400F" w:rsidRDefault="00CE4E30" w:rsidP="0089400F">
      <w:pPr>
        <w:pStyle w:val="ListParagraph"/>
        <w:numPr>
          <w:ilvl w:val="0"/>
          <w:numId w:val="7"/>
        </w:numPr>
        <w:spacing w:before="240" w:after="240" w:line="240" w:lineRule="auto"/>
        <w:contextualSpacing w:val="0"/>
        <w:rPr>
          <w:szCs w:val="24"/>
        </w:rPr>
      </w:pPr>
      <w:r w:rsidRPr="0089400F">
        <w:rPr>
          <w:szCs w:val="24"/>
        </w:rPr>
        <w:t>Students who are/were new to the district</w:t>
      </w:r>
    </w:p>
    <w:p w14:paraId="3927792F" w14:textId="584AC134" w:rsidR="00CE4E30" w:rsidRPr="0089400F" w:rsidRDefault="00CE4E30" w:rsidP="0089400F">
      <w:pPr>
        <w:pStyle w:val="ListParagraph"/>
        <w:numPr>
          <w:ilvl w:val="0"/>
          <w:numId w:val="7"/>
        </w:numPr>
        <w:spacing w:before="240" w:after="240" w:line="240" w:lineRule="auto"/>
        <w:contextualSpacing w:val="0"/>
        <w:rPr>
          <w:szCs w:val="24"/>
        </w:rPr>
      </w:pPr>
      <w:r w:rsidRPr="0089400F">
        <w:rPr>
          <w:szCs w:val="24"/>
        </w:rPr>
        <w:t>Students not responding to teacher or district correspondence</w:t>
      </w:r>
    </w:p>
    <w:p w14:paraId="3A60DD6F" w14:textId="46E2BC56" w:rsidR="00CE4E30" w:rsidRPr="0089400F" w:rsidRDefault="00CE4E30" w:rsidP="0089400F">
      <w:pPr>
        <w:pStyle w:val="ListParagraph"/>
        <w:numPr>
          <w:ilvl w:val="0"/>
          <w:numId w:val="7"/>
        </w:numPr>
        <w:spacing w:before="240" w:after="240" w:line="240" w:lineRule="auto"/>
        <w:contextualSpacing w:val="0"/>
        <w:rPr>
          <w:szCs w:val="24"/>
        </w:rPr>
      </w:pPr>
      <w:r w:rsidRPr="0089400F">
        <w:rPr>
          <w:szCs w:val="24"/>
        </w:rPr>
        <w:t>Families who mentioned changes in addresses, etc</w:t>
      </w:r>
      <w:r w:rsidR="0089400F">
        <w:rPr>
          <w:szCs w:val="24"/>
        </w:rPr>
        <w:t>.</w:t>
      </w:r>
    </w:p>
    <w:p w14:paraId="1344D877" w14:textId="305743AB" w:rsidR="00496E97" w:rsidRPr="0089400F" w:rsidRDefault="00DA565B" w:rsidP="0089400F">
      <w:pPr>
        <w:pStyle w:val="ListParagraph"/>
        <w:numPr>
          <w:ilvl w:val="0"/>
          <w:numId w:val="6"/>
        </w:numPr>
        <w:spacing w:before="240" w:after="240" w:line="240" w:lineRule="auto"/>
        <w:contextualSpacing w:val="0"/>
        <w:rPr>
          <w:szCs w:val="24"/>
        </w:rPr>
      </w:pPr>
      <w:r w:rsidRPr="0089400F">
        <w:rPr>
          <w:szCs w:val="24"/>
        </w:rPr>
        <w:t xml:space="preserve">LEAs need to consult with </w:t>
      </w:r>
      <w:r w:rsidR="00865501" w:rsidRPr="0089400F">
        <w:rPr>
          <w:szCs w:val="24"/>
        </w:rPr>
        <w:t>l</w:t>
      </w:r>
      <w:r w:rsidRPr="0089400F">
        <w:rPr>
          <w:szCs w:val="24"/>
        </w:rPr>
        <w:t>iaisons to d</w:t>
      </w:r>
      <w:r w:rsidR="00D55D37" w:rsidRPr="0089400F">
        <w:rPr>
          <w:szCs w:val="24"/>
        </w:rPr>
        <w:t>evelop or revisit messaging:</w:t>
      </w:r>
    </w:p>
    <w:p w14:paraId="533106B3" w14:textId="75BCC0E5" w:rsidR="00496E97" w:rsidRPr="0089400F" w:rsidRDefault="00D55D37" w:rsidP="0089400F">
      <w:pPr>
        <w:pStyle w:val="ListParagraph"/>
        <w:numPr>
          <w:ilvl w:val="0"/>
          <w:numId w:val="2"/>
        </w:numPr>
        <w:spacing w:before="240" w:after="240" w:line="240" w:lineRule="auto"/>
        <w:ind w:left="1440"/>
        <w:contextualSpacing w:val="0"/>
        <w:rPr>
          <w:szCs w:val="24"/>
        </w:rPr>
      </w:pPr>
      <w:r w:rsidRPr="0089400F">
        <w:rPr>
          <w:szCs w:val="24"/>
        </w:rPr>
        <w:t>Ensure messaging</w:t>
      </w:r>
      <w:r w:rsidR="00496E97" w:rsidRPr="0089400F">
        <w:rPr>
          <w:szCs w:val="24"/>
        </w:rPr>
        <w:t xml:space="preserve"> is sensitive</w:t>
      </w:r>
      <w:r w:rsidRPr="0089400F">
        <w:rPr>
          <w:szCs w:val="24"/>
        </w:rPr>
        <w:t xml:space="preserve"> and related to housing- safety, stability, academic needs. </w:t>
      </w:r>
      <w:r w:rsidR="00B751CE" w:rsidRPr="0089400F">
        <w:rPr>
          <w:szCs w:val="24"/>
        </w:rPr>
        <w:t>The CDE has developed and strongly encourages LEAs and school sites to use the recently updated housing questionnaire. The housing questionnaire</w:t>
      </w:r>
      <w:r w:rsidR="00865501" w:rsidRPr="0089400F">
        <w:rPr>
          <w:szCs w:val="24"/>
        </w:rPr>
        <w:t xml:space="preserve"> </w:t>
      </w:r>
      <w:r w:rsidR="00B751CE" w:rsidRPr="0089400F">
        <w:rPr>
          <w:szCs w:val="24"/>
        </w:rPr>
        <w:t>and guidance for its use can be found</w:t>
      </w:r>
      <w:r w:rsidR="00865501" w:rsidRPr="0089400F">
        <w:rPr>
          <w:szCs w:val="24"/>
        </w:rPr>
        <w:t xml:space="preserve"> on the </w:t>
      </w:r>
      <w:r w:rsidR="00865501" w:rsidRPr="00E34665">
        <w:rPr>
          <w:szCs w:val="24"/>
        </w:rPr>
        <w:t>CDE’s Resources for Homeless Children and Youths</w:t>
      </w:r>
      <w:r w:rsidR="00865501" w:rsidRPr="0089400F">
        <w:rPr>
          <w:szCs w:val="24"/>
        </w:rPr>
        <w:t xml:space="preserve"> web </w:t>
      </w:r>
      <w:r w:rsidR="00E34665">
        <w:rPr>
          <w:szCs w:val="24"/>
        </w:rPr>
        <w:t>page (</w:t>
      </w:r>
      <w:hyperlink r:id="rId11" w:tooltip="CDE’s Resources for Homeless Children and Youths web page" w:history="1">
        <w:r w:rsidR="00E34665" w:rsidRPr="00DA5BEA">
          <w:rPr>
            <w:rStyle w:val="Hyperlink"/>
            <w:szCs w:val="24"/>
          </w:rPr>
          <w:t>https://www.cde.ca.gov/sp/hs/cy/</w:t>
        </w:r>
      </w:hyperlink>
      <w:r w:rsidR="00E34665">
        <w:rPr>
          <w:szCs w:val="24"/>
        </w:rPr>
        <w:t>)</w:t>
      </w:r>
    </w:p>
    <w:p w14:paraId="1ADAE715" w14:textId="1C80FB73" w:rsidR="00D55D37" w:rsidRPr="0089400F" w:rsidRDefault="00DA565B" w:rsidP="0089400F">
      <w:pPr>
        <w:pStyle w:val="ListParagraph"/>
        <w:numPr>
          <w:ilvl w:val="0"/>
          <w:numId w:val="2"/>
        </w:numPr>
        <w:spacing w:before="240" w:after="240" w:line="240" w:lineRule="auto"/>
        <w:ind w:left="1440"/>
        <w:contextualSpacing w:val="0"/>
        <w:rPr>
          <w:szCs w:val="24"/>
        </w:rPr>
      </w:pPr>
      <w:r w:rsidRPr="0089400F">
        <w:rPr>
          <w:szCs w:val="24"/>
        </w:rPr>
        <w:lastRenderedPageBreak/>
        <w:t>Adding and sharing the</w:t>
      </w:r>
      <w:r w:rsidR="00D55D37" w:rsidRPr="0089400F">
        <w:rPr>
          <w:szCs w:val="24"/>
        </w:rPr>
        <w:t xml:space="preserve"> definition of homelessness and student rights, attached as a flyer or one pager to share with </w:t>
      </w:r>
      <w:r w:rsidR="00CE4E30" w:rsidRPr="0089400F">
        <w:rPr>
          <w:szCs w:val="24"/>
        </w:rPr>
        <w:t xml:space="preserve">staff who are </w:t>
      </w:r>
      <w:r w:rsidR="00D55D37" w:rsidRPr="0089400F">
        <w:rPr>
          <w:szCs w:val="24"/>
        </w:rPr>
        <w:t>still a part of the student’s life during closures</w:t>
      </w:r>
      <w:r w:rsidR="00B751CE" w:rsidRPr="0089400F">
        <w:rPr>
          <w:szCs w:val="24"/>
        </w:rPr>
        <w:t xml:space="preserve"> such as</w:t>
      </w:r>
      <w:r w:rsidR="00D55D37" w:rsidRPr="0089400F">
        <w:rPr>
          <w:szCs w:val="24"/>
        </w:rPr>
        <w:t xml:space="preserve">: </w:t>
      </w:r>
    </w:p>
    <w:p w14:paraId="5ADFD33D" w14:textId="77777777" w:rsidR="00D55D37" w:rsidRPr="0089400F" w:rsidRDefault="00D55D37" w:rsidP="0089400F">
      <w:pPr>
        <w:pStyle w:val="ListParagraph"/>
        <w:numPr>
          <w:ilvl w:val="1"/>
          <w:numId w:val="2"/>
        </w:numPr>
        <w:spacing w:before="240" w:after="240" w:line="240" w:lineRule="auto"/>
        <w:ind w:left="2160"/>
        <w:contextualSpacing w:val="0"/>
        <w:rPr>
          <w:szCs w:val="24"/>
        </w:rPr>
      </w:pPr>
      <w:r w:rsidRPr="0089400F">
        <w:rPr>
          <w:szCs w:val="24"/>
        </w:rPr>
        <w:t>Nutrition Services</w:t>
      </w:r>
    </w:p>
    <w:p w14:paraId="57B7B75B" w14:textId="77777777" w:rsidR="00D55D37" w:rsidRPr="0089400F" w:rsidRDefault="00D55D37" w:rsidP="0089400F">
      <w:pPr>
        <w:pStyle w:val="ListParagraph"/>
        <w:numPr>
          <w:ilvl w:val="1"/>
          <w:numId w:val="2"/>
        </w:numPr>
        <w:spacing w:before="240" w:after="240" w:line="240" w:lineRule="auto"/>
        <w:ind w:left="2160"/>
        <w:contextualSpacing w:val="0"/>
        <w:rPr>
          <w:szCs w:val="24"/>
        </w:rPr>
      </w:pPr>
      <w:r w:rsidRPr="0089400F">
        <w:rPr>
          <w:szCs w:val="24"/>
        </w:rPr>
        <w:t>Teachers and Academic Staff</w:t>
      </w:r>
    </w:p>
    <w:p w14:paraId="1ECF91CE" w14:textId="77777777" w:rsidR="00B751CE" w:rsidRPr="0089400F" w:rsidRDefault="00D55D37" w:rsidP="0089400F">
      <w:pPr>
        <w:pStyle w:val="ListParagraph"/>
        <w:numPr>
          <w:ilvl w:val="1"/>
          <w:numId w:val="2"/>
        </w:numPr>
        <w:spacing w:before="240" w:after="240" w:line="240" w:lineRule="auto"/>
        <w:ind w:left="2160"/>
        <w:contextualSpacing w:val="0"/>
        <w:rPr>
          <w:szCs w:val="24"/>
        </w:rPr>
      </w:pPr>
      <w:r w:rsidRPr="0089400F">
        <w:rPr>
          <w:szCs w:val="24"/>
        </w:rPr>
        <w:t>District and County Leadership that communicate with families</w:t>
      </w:r>
    </w:p>
    <w:p w14:paraId="1893212E" w14:textId="17B9B79E" w:rsidR="00B46646" w:rsidRPr="0089400F" w:rsidRDefault="002A1434" w:rsidP="0089400F">
      <w:pPr>
        <w:pStyle w:val="ListParagraph"/>
        <w:numPr>
          <w:ilvl w:val="0"/>
          <w:numId w:val="6"/>
        </w:numPr>
        <w:spacing w:before="240" w:after="240" w:line="240" w:lineRule="auto"/>
        <w:contextualSpacing w:val="0"/>
        <w:rPr>
          <w:szCs w:val="24"/>
        </w:rPr>
      </w:pPr>
      <w:r w:rsidRPr="0089400F">
        <w:rPr>
          <w:szCs w:val="24"/>
        </w:rPr>
        <w:t xml:space="preserve">Title I, Part A reservation funds </w:t>
      </w:r>
      <w:r w:rsidR="00865501" w:rsidRPr="0089400F">
        <w:rPr>
          <w:szCs w:val="24"/>
        </w:rPr>
        <w:t xml:space="preserve">for homeless education </w:t>
      </w:r>
      <w:r w:rsidRPr="0089400F">
        <w:rPr>
          <w:szCs w:val="24"/>
        </w:rPr>
        <w:t>can be used to assist s</w:t>
      </w:r>
      <w:r w:rsidR="00496E97" w:rsidRPr="0089400F">
        <w:rPr>
          <w:szCs w:val="24"/>
        </w:rPr>
        <w:t>tudents and their families experiencing homelessness to provide access beyond what is typically afforded to their housed peers.</w:t>
      </w:r>
      <w:r w:rsidR="0030650D" w:rsidRPr="0089400F">
        <w:rPr>
          <w:szCs w:val="24"/>
        </w:rPr>
        <w:t xml:space="preserve"> </w:t>
      </w:r>
      <w:r w:rsidR="00315F49" w:rsidRPr="00E34665">
        <w:rPr>
          <w:szCs w:val="24"/>
        </w:rPr>
        <w:t>Title I, Part A Reservation Funds for Homeless Education</w:t>
      </w:r>
      <w:r w:rsidR="00315F49" w:rsidRPr="0089400F">
        <w:rPr>
          <w:szCs w:val="24"/>
        </w:rPr>
        <w:t xml:space="preserve"> </w:t>
      </w:r>
      <w:r w:rsidR="00E34665">
        <w:rPr>
          <w:szCs w:val="24"/>
        </w:rPr>
        <w:t>(</w:t>
      </w:r>
      <w:hyperlink r:id="rId12" w:tooltip="Title I, Part A Reservation Funds for Homeless Education" w:history="1">
        <w:r w:rsidR="00E34665" w:rsidRPr="00DA5BEA">
          <w:rPr>
            <w:rStyle w:val="Hyperlink"/>
            <w:szCs w:val="24"/>
          </w:rPr>
          <w:t>https://www.cde.ca.gov/sp/hs/cy/</w:t>
        </w:r>
      </w:hyperlink>
      <w:r w:rsidR="00E34665">
        <w:rPr>
          <w:szCs w:val="24"/>
        </w:rPr>
        <w:t xml:space="preserve">) </w:t>
      </w:r>
      <w:r w:rsidR="00315F49" w:rsidRPr="0089400F">
        <w:rPr>
          <w:iCs/>
          <w:szCs w:val="24"/>
        </w:rPr>
        <w:t xml:space="preserve">is an overview that explains the legislation and offers strategies for implementing the allowable uses of these funds. </w:t>
      </w:r>
    </w:p>
    <w:p w14:paraId="3BBFB926" w14:textId="13811FC4" w:rsidR="00D9016F" w:rsidRPr="0089400F" w:rsidRDefault="0073159F" w:rsidP="0089400F">
      <w:pPr>
        <w:spacing w:before="240" w:after="240" w:line="240" w:lineRule="auto"/>
        <w:rPr>
          <w:szCs w:val="24"/>
        </w:rPr>
      </w:pPr>
      <w:r w:rsidRPr="0089400F">
        <w:rPr>
          <w:szCs w:val="24"/>
        </w:rPr>
        <w:t>If you have any questions or concerns, please contact CDE’s H</w:t>
      </w:r>
      <w:r w:rsidR="00B46646" w:rsidRPr="0089400F">
        <w:rPr>
          <w:szCs w:val="24"/>
        </w:rPr>
        <w:t>omeless State Coordina</w:t>
      </w:r>
      <w:r w:rsidR="00F80CD3" w:rsidRPr="0089400F">
        <w:rPr>
          <w:szCs w:val="24"/>
        </w:rPr>
        <w:t>tors</w:t>
      </w:r>
      <w:r w:rsidR="002E5EC2" w:rsidRPr="0089400F">
        <w:rPr>
          <w:szCs w:val="24"/>
        </w:rPr>
        <w:t xml:space="preserve"> at </w:t>
      </w:r>
      <w:hyperlink r:id="rId13" w:tooltip="Email Address for Department of Education Homeless Education Coordinators" w:history="1">
        <w:r w:rsidR="00D9016F" w:rsidRPr="0089400F">
          <w:rPr>
            <w:rStyle w:val="Hyperlink"/>
            <w:szCs w:val="24"/>
          </w:rPr>
          <w:t>HomelessED@cde.ca.gov</w:t>
        </w:r>
      </w:hyperlink>
      <w:r w:rsidR="00D9016F" w:rsidRPr="0089400F">
        <w:rPr>
          <w:szCs w:val="24"/>
        </w:rPr>
        <w:t xml:space="preserve">. Please join the CDE’s </w:t>
      </w:r>
      <w:r w:rsidR="00D9016F" w:rsidRPr="00E34665">
        <w:rPr>
          <w:szCs w:val="24"/>
        </w:rPr>
        <w:t>Homeless Children and Youths Resources Listserv</w:t>
      </w:r>
      <w:r w:rsidR="00D9016F" w:rsidRPr="0089400F">
        <w:rPr>
          <w:szCs w:val="24"/>
        </w:rPr>
        <w:t xml:space="preserve"> </w:t>
      </w:r>
      <w:r w:rsidR="00E34665">
        <w:rPr>
          <w:szCs w:val="24"/>
        </w:rPr>
        <w:t>(</w:t>
      </w:r>
      <w:hyperlink r:id="rId14" w:tooltip="CDE’s Homeless Children and Youths Resources Listserv" w:history="1">
        <w:r w:rsidR="00E34665" w:rsidRPr="00DA5BEA">
          <w:rPr>
            <w:rStyle w:val="Hyperlink"/>
            <w:szCs w:val="24"/>
          </w:rPr>
          <w:t>https://www.cde.ca.gov/sp/hs/cy/homelesslistserv.asp</w:t>
        </w:r>
      </w:hyperlink>
      <w:r w:rsidR="00E34665">
        <w:rPr>
          <w:szCs w:val="24"/>
        </w:rPr>
        <w:t xml:space="preserve">) </w:t>
      </w:r>
      <w:r w:rsidR="00D9016F" w:rsidRPr="0089400F">
        <w:rPr>
          <w:szCs w:val="24"/>
        </w:rPr>
        <w:t>to receive information and updates relating to the education of homeless children and youth.</w:t>
      </w:r>
    </w:p>
    <w:p w14:paraId="460F2238" w14:textId="73E9AAD4" w:rsidR="00236B2B" w:rsidRPr="0089400F" w:rsidRDefault="00D9016F" w:rsidP="0089400F">
      <w:pPr>
        <w:spacing w:before="240" w:after="240" w:line="240" w:lineRule="auto"/>
        <w:rPr>
          <w:szCs w:val="24"/>
        </w:rPr>
      </w:pPr>
      <w:r w:rsidRPr="0089400F">
        <w:rPr>
          <w:szCs w:val="24"/>
        </w:rPr>
        <w:t xml:space="preserve">For information and resources regarding coronavirus (COVID-19), please visit the </w:t>
      </w:r>
      <w:r w:rsidRPr="00E34665">
        <w:rPr>
          <w:szCs w:val="24"/>
        </w:rPr>
        <w:t>CDE’s COVID-19</w:t>
      </w:r>
      <w:r w:rsidRPr="0089400F">
        <w:rPr>
          <w:szCs w:val="24"/>
        </w:rPr>
        <w:t xml:space="preserve"> web </w:t>
      </w:r>
      <w:r w:rsidR="00E34665">
        <w:rPr>
          <w:szCs w:val="24"/>
        </w:rPr>
        <w:t>page (</w:t>
      </w:r>
      <w:hyperlink r:id="rId15" w:tooltip="CDE’s COVID-19 web page" w:history="1">
        <w:r w:rsidR="00E34665" w:rsidRPr="00DA5BEA">
          <w:rPr>
            <w:rStyle w:val="Hyperlink"/>
            <w:szCs w:val="24"/>
          </w:rPr>
          <w:t>https://www.cde.ca.gov/ls/he/hn/coronavirus.asp</w:t>
        </w:r>
      </w:hyperlink>
      <w:r w:rsidR="00E34665">
        <w:rPr>
          <w:szCs w:val="24"/>
        </w:rPr>
        <w:t>)</w:t>
      </w:r>
      <w:r w:rsidR="00236B2B" w:rsidRPr="0089400F">
        <w:rPr>
          <w:szCs w:val="24"/>
        </w:rPr>
        <w:t xml:space="preserve">. </w:t>
      </w:r>
    </w:p>
    <w:p w14:paraId="57082DD4" w14:textId="626C87AD" w:rsidR="008142F9" w:rsidRPr="0089400F" w:rsidRDefault="001144DA" w:rsidP="0089400F">
      <w:pPr>
        <w:spacing w:before="240" w:after="240" w:line="240" w:lineRule="auto"/>
        <w:rPr>
          <w:szCs w:val="24"/>
        </w:rPr>
      </w:pPr>
      <w:r w:rsidRPr="0089400F">
        <w:rPr>
          <w:rFonts w:eastAsia="Times New Roman"/>
          <w:color w:val="000000"/>
          <w:szCs w:val="24"/>
        </w:rPr>
        <w:t>For CDE</w:t>
      </w:r>
      <w:r w:rsidR="00095D47">
        <w:rPr>
          <w:rFonts w:eastAsia="Times New Roman"/>
          <w:color w:val="000000"/>
          <w:szCs w:val="24"/>
        </w:rPr>
        <w:t>-</w:t>
      </w:r>
      <w:r w:rsidRPr="0089400F">
        <w:rPr>
          <w:rFonts w:eastAsia="Times New Roman"/>
          <w:color w:val="000000"/>
          <w:szCs w:val="24"/>
        </w:rPr>
        <w:t>level information from the State Superintendent of Public Instruction</w:t>
      </w:r>
      <w:r w:rsidR="00095D47">
        <w:rPr>
          <w:rFonts w:eastAsia="Times New Roman"/>
          <w:color w:val="000000"/>
          <w:szCs w:val="24"/>
        </w:rPr>
        <w:t xml:space="preserve"> (SSPI)</w:t>
      </w:r>
      <w:r w:rsidRPr="0089400F">
        <w:rPr>
          <w:rFonts w:eastAsia="Times New Roman"/>
          <w:color w:val="000000"/>
          <w:szCs w:val="24"/>
        </w:rPr>
        <w:t xml:space="preserve">, </w:t>
      </w:r>
      <w:r w:rsidR="00095D47">
        <w:rPr>
          <w:rFonts w:eastAsia="Times New Roman"/>
          <w:color w:val="000000"/>
          <w:szCs w:val="24"/>
        </w:rPr>
        <w:t>please review the news releases gathered on the CDE’s COVID-19 SSPI Communications web page (</w:t>
      </w:r>
      <w:hyperlink r:id="rId16" w:tooltip="CDE’s COVID-19 SSPI Communications web page" w:history="1">
        <w:r w:rsidR="00095D47" w:rsidRPr="00087CAD">
          <w:rPr>
            <w:rStyle w:val="Hyperlink"/>
            <w:rFonts w:eastAsia="Times New Roman"/>
            <w:szCs w:val="24"/>
          </w:rPr>
          <w:t>https://www.cde.ca.gov/ls/he/hn/covid-19sspicom.asp</w:t>
        </w:r>
      </w:hyperlink>
      <w:r w:rsidR="00095D47">
        <w:rPr>
          <w:rFonts w:eastAsia="Times New Roman"/>
          <w:color w:val="000000"/>
          <w:szCs w:val="24"/>
        </w:rPr>
        <w:t>)</w:t>
      </w:r>
      <w:r w:rsidRPr="0089400F">
        <w:rPr>
          <w:color w:val="212121"/>
          <w:szCs w:val="24"/>
          <w:shd w:val="clear" w:color="auto" w:fill="FFFFFF"/>
        </w:rPr>
        <w:t>.</w:t>
      </w:r>
      <w:r w:rsidR="00DA565B" w:rsidRPr="0089400F">
        <w:rPr>
          <w:color w:val="212121"/>
          <w:szCs w:val="24"/>
          <w:shd w:val="clear" w:color="auto" w:fill="FFFFFF"/>
        </w:rPr>
        <w:t xml:space="preserve"> </w:t>
      </w:r>
      <w:r w:rsidR="00DA565B" w:rsidRPr="0089400F">
        <w:rPr>
          <w:rFonts w:eastAsia="Times New Roman"/>
          <w:color w:val="212121"/>
          <w:szCs w:val="24"/>
        </w:rPr>
        <w:t>If you aren’t already following the CDE on social media, please find us on Facebook at @</w:t>
      </w:r>
      <w:proofErr w:type="spellStart"/>
      <w:r w:rsidR="00DA565B" w:rsidRPr="0089400F">
        <w:rPr>
          <w:rFonts w:eastAsia="Times New Roman"/>
          <w:color w:val="212121"/>
          <w:szCs w:val="24"/>
        </w:rPr>
        <w:t>CAEducation</w:t>
      </w:r>
      <w:proofErr w:type="spellEnd"/>
      <w:r w:rsidR="00DA565B" w:rsidRPr="0089400F">
        <w:rPr>
          <w:rFonts w:eastAsia="Times New Roman"/>
          <w:color w:val="212121"/>
          <w:szCs w:val="24"/>
        </w:rPr>
        <w:t xml:space="preserve"> and on Twitter</w:t>
      </w:r>
      <w:r w:rsidR="00E34665">
        <w:rPr>
          <w:rFonts w:eastAsia="Times New Roman"/>
          <w:color w:val="212121"/>
          <w:szCs w:val="24"/>
        </w:rPr>
        <w:t xml:space="preserve"> at</w:t>
      </w:r>
      <w:r w:rsidR="00DA565B" w:rsidRPr="0089400F">
        <w:rPr>
          <w:rFonts w:eastAsia="Times New Roman"/>
          <w:color w:val="212121"/>
          <w:szCs w:val="24"/>
        </w:rPr>
        <w:t xml:space="preserve"> @</w:t>
      </w:r>
      <w:proofErr w:type="spellStart"/>
      <w:r w:rsidR="00DA565B" w:rsidRPr="0089400F">
        <w:rPr>
          <w:rFonts w:eastAsia="Times New Roman"/>
          <w:color w:val="212121"/>
          <w:szCs w:val="24"/>
        </w:rPr>
        <w:t>CADeptEd</w:t>
      </w:r>
      <w:proofErr w:type="spellEnd"/>
      <w:r w:rsidR="00E34665">
        <w:rPr>
          <w:rFonts w:eastAsia="Times New Roman"/>
          <w:color w:val="212121"/>
          <w:szCs w:val="24"/>
        </w:rPr>
        <w:t>.</w:t>
      </w:r>
    </w:p>
    <w:sectPr w:rsidR="008142F9" w:rsidRPr="0089400F" w:rsidSect="0089400F">
      <w:head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5FEDA" w14:textId="77777777" w:rsidR="00F4105F" w:rsidRDefault="00F4105F" w:rsidP="000F4193">
      <w:pPr>
        <w:spacing w:after="0" w:line="240" w:lineRule="auto"/>
      </w:pPr>
      <w:r>
        <w:separator/>
      </w:r>
    </w:p>
  </w:endnote>
  <w:endnote w:type="continuationSeparator" w:id="0">
    <w:p w14:paraId="734878FF" w14:textId="77777777" w:rsidR="00F4105F" w:rsidRDefault="00F4105F" w:rsidP="000F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41A93" w14:textId="77777777" w:rsidR="00F4105F" w:rsidRDefault="00F4105F" w:rsidP="000F4193">
      <w:pPr>
        <w:spacing w:after="0" w:line="240" w:lineRule="auto"/>
      </w:pPr>
      <w:r>
        <w:separator/>
      </w:r>
    </w:p>
  </w:footnote>
  <w:footnote w:type="continuationSeparator" w:id="0">
    <w:p w14:paraId="1D4D6142" w14:textId="77777777" w:rsidR="00F4105F" w:rsidRDefault="00F4105F" w:rsidP="000F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35F7A" w14:textId="504FA47C" w:rsidR="0089400F" w:rsidRDefault="0089400F" w:rsidP="0089400F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5C15"/>
    <w:multiLevelType w:val="hybridMultilevel"/>
    <w:tmpl w:val="0FF0A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3218"/>
    <w:multiLevelType w:val="hybridMultilevel"/>
    <w:tmpl w:val="F0544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F3CEF"/>
    <w:multiLevelType w:val="hybridMultilevel"/>
    <w:tmpl w:val="50EA85F6"/>
    <w:lvl w:ilvl="0" w:tplc="A55666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52086C"/>
    <w:multiLevelType w:val="hybridMultilevel"/>
    <w:tmpl w:val="12465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D3F"/>
    <w:multiLevelType w:val="hybridMultilevel"/>
    <w:tmpl w:val="97E4A6B8"/>
    <w:lvl w:ilvl="0" w:tplc="93128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E2B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AB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21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22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4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82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0B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A96155"/>
    <w:multiLevelType w:val="hybridMultilevel"/>
    <w:tmpl w:val="7DCA3E10"/>
    <w:lvl w:ilvl="0" w:tplc="59EAF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C4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6C1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60A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903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07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200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2E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BA1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7B6526B"/>
    <w:multiLevelType w:val="hybridMultilevel"/>
    <w:tmpl w:val="45F2E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13"/>
    <w:rsid w:val="000040D0"/>
    <w:rsid w:val="00093B39"/>
    <w:rsid w:val="00095D47"/>
    <w:rsid w:val="000C07AD"/>
    <w:rsid w:val="000F4193"/>
    <w:rsid w:val="000F6F23"/>
    <w:rsid w:val="001144DA"/>
    <w:rsid w:val="00121D6D"/>
    <w:rsid w:val="00133452"/>
    <w:rsid w:val="00137159"/>
    <w:rsid w:val="00141661"/>
    <w:rsid w:val="00157D8D"/>
    <w:rsid w:val="001A0CA5"/>
    <w:rsid w:val="001B207C"/>
    <w:rsid w:val="00236B2B"/>
    <w:rsid w:val="002A1434"/>
    <w:rsid w:val="002B464B"/>
    <w:rsid w:val="002E3EB7"/>
    <w:rsid w:val="002E4CB5"/>
    <w:rsid w:val="002E5EC2"/>
    <w:rsid w:val="0030650D"/>
    <w:rsid w:val="003065FD"/>
    <w:rsid w:val="00315F49"/>
    <w:rsid w:val="003A7E6D"/>
    <w:rsid w:val="003C778D"/>
    <w:rsid w:val="00496E97"/>
    <w:rsid w:val="00500669"/>
    <w:rsid w:val="005365DB"/>
    <w:rsid w:val="00556C07"/>
    <w:rsid w:val="00576F7D"/>
    <w:rsid w:val="005A7BAE"/>
    <w:rsid w:val="005E31D7"/>
    <w:rsid w:val="005E7C8E"/>
    <w:rsid w:val="00616002"/>
    <w:rsid w:val="00617BF2"/>
    <w:rsid w:val="00626A47"/>
    <w:rsid w:val="00676D9B"/>
    <w:rsid w:val="0068448D"/>
    <w:rsid w:val="006930F1"/>
    <w:rsid w:val="006B76B7"/>
    <w:rsid w:val="00711484"/>
    <w:rsid w:val="0073159F"/>
    <w:rsid w:val="007357A4"/>
    <w:rsid w:val="007428B8"/>
    <w:rsid w:val="00794213"/>
    <w:rsid w:val="00801192"/>
    <w:rsid w:val="008142F9"/>
    <w:rsid w:val="00817DE9"/>
    <w:rsid w:val="0083386A"/>
    <w:rsid w:val="008636C0"/>
    <w:rsid w:val="00865501"/>
    <w:rsid w:val="0089400F"/>
    <w:rsid w:val="00897213"/>
    <w:rsid w:val="00911E49"/>
    <w:rsid w:val="00996423"/>
    <w:rsid w:val="009A2835"/>
    <w:rsid w:val="00A11DFA"/>
    <w:rsid w:val="00A210F3"/>
    <w:rsid w:val="00A75705"/>
    <w:rsid w:val="00AC1E92"/>
    <w:rsid w:val="00AF7485"/>
    <w:rsid w:val="00B1162B"/>
    <w:rsid w:val="00B46646"/>
    <w:rsid w:val="00B55727"/>
    <w:rsid w:val="00B751CE"/>
    <w:rsid w:val="00BA78E5"/>
    <w:rsid w:val="00BB3339"/>
    <w:rsid w:val="00BE135C"/>
    <w:rsid w:val="00C03934"/>
    <w:rsid w:val="00C35E2E"/>
    <w:rsid w:val="00C41FB0"/>
    <w:rsid w:val="00C80C45"/>
    <w:rsid w:val="00C81640"/>
    <w:rsid w:val="00C93F33"/>
    <w:rsid w:val="00CE4E30"/>
    <w:rsid w:val="00D47DAB"/>
    <w:rsid w:val="00D55D37"/>
    <w:rsid w:val="00D9016F"/>
    <w:rsid w:val="00DA565B"/>
    <w:rsid w:val="00E17ED0"/>
    <w:rsid w:val="00E3104C"/>
    <w:rsid w:val="00E34665"/>
    <w:rsid w:val="00E3515F"/>
    <w:rsid w:val="00E82523"/>
    <w:rsid w:val="00ED296D"/>
    <w:rsid w:val="00ED7ECB"/>
    <w:rsid w:val="00EE57E2"/>
    <w:rsid w:val="00EF6918"/>
    <w:rsid w:val="00F4105F"/>
    <w:rsid w:val="00F80CD3"/>
    <w:rsid w:val="00FC3652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185BF"/>
  <w15:chartTrackingRefBased/>
  <w15:docId w15:val="{F5BDC110-BFEB-4E7C-AF83-1A6E47D2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897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646"/>
    <w:rPr>
      <w:color w:val="0070C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19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F4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193"/>
    <w:rPr>
      <w:rFonts w:ascii="Arial" w:hAnsi="Arial"/>
      <w:sz w:val="24"/>
    </w:rPr>
  </w:style>
  <w:style w:type="character" w:styleId="IntenseReference">
    <w:name w:val="Intense Reference"/>
    <w:basedOn w:val="DefaultParagraphFont"/>
    <w:uiPriority w:val="32"/>
    <w:qFormat/>
    <w:rsid w:val="00B55727"/>
    <w:rPr>
      <w:b/>
      <w:bCs/>
      <w:smallCaps/>
      <w:color w:val="5B9BD5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80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C4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C4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C4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5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5F49"/>
    <w:rPr>
      <w:color w:val="0070C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06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2386">
          <w:marLeft w:val="181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851">
          <w:marLeft w:val="181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976">
          <w:marLeft w:val="181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839">
          <w:marLeft w:val="181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64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omelessED@cde.ca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sp/hs/cy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de.ca.gov/ls/he/hn/covid-19sspicom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sp/hs/c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e.ca.gov/ls/he/hn/coronavirus.asp" TargetMode="External"/><Relationship Id="rId10" Type="http://schemas.openxmlformats.org/officeDocument/2006/relationships/hyperlink" Target="https://www.cde.ca.gov/sp/h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de.ca.gov/sp/hs/" TargetMode="External"/><Relationship Id="rId14" Type="http://schemas.openxmlformats.org/officeDocument/2006/relationships/hyperlink" Target="https://www.cde.ca.gov/sp/hs/cy/homelesslistserv.asp" TargetMode="External"/></Relationships>
</file>

<file path=word/theme/theme1.xml><?xml version="1.0" encoding="utf-8"?>
<a:theme xmlns:a="http://schemas.openxmlformats.org/drawingml/2006/main" name="Office Theme">
  <a:themeElements>
    <a:clrScheme name="Custom 2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1AF2F-F7F3-4739-BA53-E747CA17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Resources - Homeless Education (CA Dept of Education)</vt:lpstr>
    </vt:vector>
  </TitlesOfParts>
  <Manager>Mindi Parsons</Manager>
  <Company>CA Department of Education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Resources - Homeless Education (CA Dept of Education)</dc:title>
  <dc:subject>This document provides identification strategies in response to the coronavirus (COVID-19) for homeless students.</dc:subject>
  <dc:creator>Karmina Barrales</dc:creator>
  <cp:keywords>Coronavirus, Identification, homelessness, criteria, enroll, liaison</cp:keywords>
  <dc:description/>
  <cp:lastModifiedBy>John Cooper</cp:lastModifiedBy>
  <cp:revision>7</cp:revision>
  <dcterms:created xsi:type="dcterms:W3CDTF">2021-12-22T21:53:00Z</dcterms:created>
  <dcterms:modified xsi:type="dcterms:W3CDTF">2022-01-10T22:33:00Z</dcterms:modified>
  <cp:contentStatus/>
</cp:coreProperties>
</file>