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8C1A3" w14:textId="77777777" w:rsidR="00C96771" w:rsidRDefault="000664BA" w:rsidP="00C96771">
      <w:pPr>
        <w:spacing w:after="240"/>
        <w:jc w:val="center"/>
        <w:rPr>
          <w:b/>
        </w:rPr>
      </w:pPr>
      <w:r w:rsidRPr="005B30D2">
        <w:rPr>
          <w:b/>
        </w:rPr>
        <w:t>Report to the Legislature, the Department of Finance, the State Board of Education, and the Legislative Analyst’s Office:</w:t>
      </w:r>
      <w:bookmarkStart w:id="0" w:name="_Toc529878781"/>
      <w:bookmarkStart w:id="1" w:name="_Toc529884148"/>
      <w:bookmarkStart w:id="2" w:name="_Toc529946432"/>
      <w:bookmarkStart w:id="3" w:name="_Toc24110933"/>
      <w:bookmarkStart w:id="4" w:name="_Toc24717474"/>
    </w:p>
    <w:p w14:paraId="637C4206" w14:textId="701951EB" w:rsidR="005516BA" w:rsidRPr="005516BA" w:rsidRDefault="000664BA" w:rsidP="00C96771">
      <w:pPr>
        <w:spacing w:after="240"/>
        <w:jc w:val="center"/>
      </w:pPr>
      <w:bookmarkStart w:id="5" w:name="_Toc46228469"/>
      <w:bookmarkStart w:id="6" w:name="_Toc46228490"/>
      <w:r w:rsidRPr="00CD13B8">
        <w:rPr>
          <w:rStyle w:val="Heading1Char"/>
        </w:rPr>
        <w:t>California Equity Performance and Improvement Program</w:t>
      </w:r>
      <w:bookmarkEnd w:id="0"/>
      <w:bookmarkEnd w:id="1"/>
      <w:bookmarkEnd w:id="2"/>
      <w:bookmarkEnd w:id="3"/>
      <w:bookmarkEnd w:id="4"/>
      <w:bookmarkEnd w:id="5"/>
      <w:bookmarkEnd w:id="6"/>
    </w:p>
    <w:p w14:paraId="30FDDA3D" w14:textId="77777777" w:rsidR="000664BA" w:rsidRDefault="000664BA" w:rsidP="00511C18">
      <w:pPr>
        <w:jc w:val="center"/>
        <w:rPr>
          <w:snapToGrid/>
        </w:rPr>
      </w:pPr>
      <w:bookmarkStart w:id="7" w:name="_Toc529878782"/>
      <w:bookmarkStart w:id="8" w:name="_Toc529884149"/>
      <w:bookmarkStart w:id="9" w:name="_Toc529946433"/>
      <w:r w:rsidRPr="006B479B">
        <w:rPr>
          <w:noProof/>
          <w:snapToGrid/>
        </w:rPr>
        <w:drawing>
          <wp:inline distT="0" distB="0" distL="0" distR="0" wp14:anchorId="022CB714" wp14:editId="0878304B">
            <wp:extent cx="2085975" cy="2085975"/>
            <wp:effectExtent l="0" t="0" r="9525" b="9525"/>
            <wp:docPr id="1" name="Picture 1"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California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bookmarkEnd w:id="7"/>
      <w:bookmarkEnd w:id="8"/>
      <w:bookmarkEnd w:id="9"/>
    </w:p>
    <w:p w14:paraId="15AA2BE2" w14:textId="77777777" w:rsidR="000664BA" w:rsidRPr="00BF3A0F" w:rsidRDefault="000664BA" w:rsidP="00511C18">
      <w:pPr>
        <w:widowControl/>
        <w:spacing w:before="840" w:after="240"/>
        <w:jc w:val="center"/>
        <w:rPr>
          <w:rFonts w:cs="Arial"/>
          <w:b/>
          <w:bCs/>
          <w:iCs/>
          <w:snapToGrid/>
          <w:szCs w:val="24"/>
        </w:rPr>
      </w:pPr>
      <w:r w:rsidRPr="00BF3A0F">
        <w:rPr>
          <w:rFonts w:cs="Arial"/>
          <w:b/>
          <w:bCs/>
          <w:iCs/>
          <w:snapToGrid/>
          <w:szCs w:val="24"/>
        </w:rPr>
        <w:t>Prepared by the</w:t>
      </w:r>
    </w:p>
    <w:p w14:paraId="3C6228C9" w14:textId="77777777" w:rsidR="000664BA" w:rsidRPr="00EC3C49" w:rsidRDefault="000664BA" w:rsidP="00511C18">
      <w:pPr>
        <w:widowControl/>
        <w:spacing w:before="360"/>
        <w:jc w:val="center"/>
        <w:rPr>
          <w:rFonts w:cs="Arial"/>
          <w:b/>
          <w:bCs/>
          <w:snapToGrid/>
          <w:sz w:val="26"/>
          <w:szCs w:val="28"/>
        </w:rPr>
      </w:pPr>
      <w:r>
        <w:rPr>
          <w:rFonts w:cs="Arial"/>
          <w:b/>
          <w:bCs/>
          <w:snapToGrid/>
          <w:sz w:val="26"/>
          <w:szCs w:val="28"/>
        </w:rPr>
        <w:t>Improvement and Accountability</w:t>
      </w:r>
      <w:r w:rsidRPr="00EC3C49">
        <w:rPr>
          <w:rFonts w:cs="Arial"/>
          <w:b/>
          <w:bCs/>
          <w:snapToGrid/>
          <w:sz w:val="26"/>
          <w:szCs w:val="28"/>
        </w:rPr>
        <w:t xml:space="preserve"> Division</w:t>
      </w:r>
    </w:p>
    <w:p w14:paraId="1CC37CE4" w14:textId="77777777" w:rsidR="000664BA" w:rsidRDefault="000664BA" w:rsidP="00511C18">
      <w:pPr>
        <w:widowControl/>
        <w:jc w:val="center"/>
        <w:rPr>
          <w:rFonts w:cs="Arial"/>
          <w:b/>
          <w:bCs/>
          <w:snapToGrid/>
          <w:sz w:val="26"/>
          <w:szCs w:val="28"/>
        </w:rPr>
      </w:pPr>
      <w:r>
        <w:rPr>
          <w:rFonts w:cs="Arial"/>
          <w:b/>
          <w:bCs/>
          <w:snapToGrid/>
          <w:sz w:val="26"/>
          <w:szCs w:val="28"/>
        </w:rPr>
        <w:t>Instruction and Measurement</w:t>
      </w:r>
      <w:r w:rsidRPr="00EC3C49">
        <w:rPr>
          <w:rFonts w:cs="Arial"/>
          <w:b/>
          <w:bCs/>
          <w:snapToGrid/>
          <w:sz w:val="26"/>
          <w:szCs w:val="28"/>
        </w:rPr>
        <w:t xml:space="preserve"> Branch</w:t>
      </w:r>
    </w:p>
    <w:p w14:paraId="129AF073" w14:textId="77777777" w:rsidR="00893AE8" w:rsidRPr="00B70485" w:rsidRDefault="00893AE8" w:rsidP="00511C18">
      <w:pPr>
        <w:widowControl/>
        <w:jc w:val="center"/>
        <w:rPr>
          <w:rFonts w:cs="Arial"/>
          <w:b/>
          <w:bCs/>
          <w:snapToGrid/>
          <w:sz w:val="28"/>
          <w:szCs w:val="28"/>
        </w:rPr>
      </w:pPr>
      <w:r>
        <w:rPr>
          <w:rFonts w:cs="Arial"/>
          <w:b/>
          <w:bCs/>
          <w:snapToGrid/>
          <w:sz w:val="26"/>
          <w:szCs w:val="28"/>
        </w:rPr>
        <w:t>California Department of Education</w:t>
      </w:r>
    </w:p>
    <w:p w14:paraId="5D073967" w14:textId="77777777" w:rsidR="000664BA" w:rsidRPr="007376A2" w:rsidRDefault="005E6A8D" w:rsidP="00511C18">
      <w:pPr>
        <w:widowControl/>
        <w:spacing w:before="480" w:after="840"/>
        <w:jc w:val="center"/>
        <w:rPr>
          <w:rFonts w:cs="Arial"/>
          <w:b/>
          <w:iCs/>
          <w:snapToGrid/>
          <w:szCs w:val="22"/>
        </w:rPr>
      </w:pPr>
      <w:r>
        <w:rPr>
          <w:rFonts w:cs="Arial"/>
          <w:b/>
          <w:iCs/>
          <w:snapToGrid/>
          <w:szCs w:val="22"/>
        </w:rPr>
        <w:t>December</w:t>
      </w:r>
      <w:r w:rsidR="000664BA" w:rsidRPr="007376A2">
        <w:rPr>
          <w:rFonts w:cs="Arial"/>
          <w:b/>
          <w:iCs/>
          <w:snapToGrid/>
          <w:szCs w:val="22"/>
        </w:rPr>
        <w:t xml:space="preserve"> </w:t>
      </w:r>
      <w:r w:rsidR="000664BA">
        <w:rPr>
          <w:rFonts w:cs="Arial"/>
          <w:b/>
          <w:iCs/>
          <w:snapToGrid/>
          <w:szCs w:val="22"/>
        </w:rPr>
        <w:t>2019</w:t>
      </w:r>
    </w:p>
    <w:p w14:paraId="0EFC6FC1" w14:textId="4E87B69F" w:rsidR="000664BA" w:rsidRPr="007376A2" w:rsidRDefault="000664BA" w:rsidP="00511C18">
      <w:pPr>
        <w:widowControl/>
        <w:tabs>
          <w:tab w:val="left" w:pos="1080"/>
          <w:tab w:val="left" w:pos="1170"/>
        </w:tabs>
        <w:spacing w:after="240"/>
        <w:ind w:left="1440" w:hanging="1440"/>
        <w:rPr>
          <w:rFonts w:cs="Arial"/>
          <w:snapToGrid/>
          <w:szCs w:val="18"/>
          <w:lang w:bidi="en-US"/>
        </w:rPr>
      </w:pPr>
      <w:r w:rsidRPr="007376A2">
        <w:rPr>
          <w:rFonts w:cs="Arial"/>
          <w:i/>
          <w:snapToGrid/>
          <w:szCs w:val="18"/>
          <w:lang w:bidi="en-US"/>
        </w:rPr>
        <w:t>Description</w:t>
      </w:r>
      <w:r w:rsidRPr="007376A2">
        <w:rPr>
          <w:rFonts w:cs="Arial"/>
          <w:snapToGrid/>
          <w:szCs w:val="18"/>
          <w:lang w:bidi="en-US"/>
        </w:rPr>
        <w:t>:</w:t>
      </w:r>
      <w:r w:rsidRPr="007376A2">
        <w:rPr>
          <w:rFonts w:cs="Arial"/>
          <w:snapToGrid/>
          <w:szCs w:val="18"/>
          <w:lang w:bidi="en-US"/>
        </w:rPr>
        <w:tab/>
        <w:t>This report covers the California Equity Performance and Improvement Program</w:t>
      </w:r>
      <w:r>
        <w:rPr>
          <w:rFonts w:cs="Arial"/>
          <w:snapToGrid/>
          <w:szCs w:val="18"/>
          <w:lang w:bidi="en-US"/>
        </w:rPr>
        <w:t xml:space="preserve"> (CEPIP)</w:t>
      </w:r>
      <w:r w:rsidRPr="007376A2">
        <w:rPr>
          <w:rFonts w:cs="Arial"/>
          <w:snapToGrid/>
          <w:szCs w:val="18"/>
          <w:lang w:bidi="en-US"/>
        </w:rPr>
        <w:t xml:space="preserve"> implementation</w:t>
      </w:r>
      <w:r>
        <w:rPr>
          <w:rFonts w:cs="Arial"/>
          <w:snapToGrid/>
          <w:szCs w:val="18"/>
          <w:lang w:bidi="en-US"/>
        </w:rPr>
        <w:t xml:space="preserve"> from</w:t>
      </w:r>
      <w:r w:rsidRPr="007376A2">
        <w:rPr>
          <w:rFonts w:cs="Arial"/>
          <w:snapToGrid/>
          <w:szCs w:val="18"/>
          <w:lang w:bidi="en-US"/>
        </w:rPr>
        <w:t xml:space="preserve"> July 1</w:t>
      </w:r>
      <w:r>
        <w:rPr>
          <w:rFonts w:cs="Arial"/>
          <w:snapToGrid/>
          <w:szCs w:val="18"/>
          <w:lang w:bidi="en-US"/>
        </w:rPr>
        <w:t>, 2018</w:t>
      </w:r>
      <w:r w:rsidR="00C07F68">
        <w:rPr>
          <w:rFonts w:cs="Arial"/>
          <w:snapToGrid/>
          <w:szCs w:val="18"/>
          <w:lang w:bidi="en-US"/>
        </w:rPr>
        <w:t>,</w:t>
      </w:r>
      <w:r w:rsidR="00E90E51">
        <w:rPr>
          <w:rFonts w:cs="Arial"/>
          <w:snapToGrid/>
          <w:szCs w:val="18"/>
          <w:lang w:bidi="en-US"/>
        </w:rPr>
        <w:t xml:space="preserve"> to</w:t>
      </w:r>
      <w:r w:rsidRPr="007376A2">
        <w:rPr>
          <w:rFonts w:cs="Arial"/>
          <w:snapToGrid/>
          <w:szCs w:val="18"/>
          <w:lang w:bidi="en-US"/>
        </w:rPr>
        <w:t xml:space="preserve"> </w:t>
      </w:r>
      <w:r>
        <w:rPr>
          <w:rFonts w:cs="Arial"/>
          <w:snapToGrid/>
          <w:szCs w:val="18"/>
          <w:lang w:bidi="en-US"/>
        </w:rPr>
        <w:t>June 30, 2019</w:t>
      </w:r>
      <w:r w:rsidRPr="007376A2">
        <w:rPr>
          <w:rFonts w:cs="Arial"/>
          <w:snapToGrid/>
          <w:szCs w:val="18"/>
          <w:lang w:bidi="en-US"/>
        </w:rPr>
        <w:t xml:space="preserve">. </w:t>
      </w:r>
    </w:p>
    <w:p w14:paraId="1AA3554A" w14:textId="4775C2D6" w:rsidR="000664BA" w:rsidRPr="007376A2" w:rsidRDefault="000664BA" w:rsidP="00511C18">
      <w:pPr>
        <w:widowControl/>
        <w:tabs>
          <w:tab w:val="left" w:pos="1080"/>
        </w:tabs>
        <w:spacing w:after="240"/>
        <w:jc w:val="both"/>
        <w:rPr>
          <w:rFonts w:cs="Arial"/>
          <w:i/>
          <w:snapToGrid/>
          <w:szCs w:val="18"/>
          <w:lang w:bidi="en-US"/>
        </w:rPr>
      </w:pPr>
      <w:r w:rsidRPr="007376A2">
        <w:rPr>
          <w:rFonts w:cs="Arial"/>
          <w:i/>
          <w:snapToGrid/>
          <w:szCs w:val="18"/>
          <w:lang w:bidi="en-US"/>
        </w:rPr>
        <w:t>Authority</w:t>
      </w:r>
      <w:r w:rsidRPr="007376A2">
        <w:rPr>
          <w:rFonts w:cs="Arial"/>
          <w:snapToGrid/>
          <w:szCs w:val="18"/>
          <w:lang w:bidi="en-US"/>
        </w:rPr>
        <w:t>:</w:t>
      </w:r>
      <w:r>
        <w:rPr>
          <w:rFonts w:cs="Arial"/>
          <w:snapToGrid/>
          <w:szCs w:val="18"/>
          <w:lang w:bidi="en-US"/>
        </w:rPr>
        <w:tab/>
      </w:r>
      <w:r>
        <w:rPr>
          <w:rFonts w:cs="Arial"/>
          <w:snapToGrid/>
          <w:szCs w:val="18"/>
          <w:lang w:bidi="en-US"/>
        </w:rPr>
        <w:tab/>
      </w:r>
      <w:r w:rsidRPr="007376A2">
        <w:rPr>
          <w:rFonts w:cs="Arial"/>
          <w:snapToGrid/>
          <w:szCs w:val="18"/>
          <w:lang w:bidi="en-US"/>
        </w:rPr>
        <w:t>Assembly Bill 99, Chapter 15, Statutes of 2017, Section 87(g).</w:t>
      </w:r>
    </w:p>
    <w:p w14:paraId="65917BE7" w14:textId="0BC053C0" w:rsidR="000664BA" w:rsidRPr="007376A2" w:rsidRDefault="000664BA" w:rsidP="00511C18">
      <w:pPr>
        <w:widowControl/>
        <w:tabs>
          <w:tab w:val="left" w:pos="1080"/>
        </w:tabs>
        <w:spacing w:after="240"/>
        <w:ind w:left="1440" w:hanging="1440"/>
        <w:rPr>
          <w:rFonts w:cs="Arial"/>
          <w:i/>
          <w:snapToGrid/>
          <w:szCs w:val="18"/>
          <w:lang w:bidi="en-US"/>
        </w:rPr>
      </w:pPr>
      <w:r w:rsidRPr="007376A2">
        <w:rPr>
          <w:rFonts w:cs="Arial"/>
          <w:i/>
          <w:snapToGrid/>
          <w:szCs w:val="18"/>
          <w:lang w:bidi="en-US"/>
        </w:rPr>
        <w:t>Recipient</w:t>
      </w:r>
      <w:r w:rsidRPr="007376A2">
        <w:rPr>
          <w:rFonts w:cs="Arial"/>
          <w:snapToGrid/>
          <w:szCs w:val="18"/>
          <w:lang w:bidi="en-US"/>
        </w:rPr>
        <w:t>:</w:t>
      </w:r>
      <w:r w:rsidRPr="007376A2">
        <w:rPr>
          <w:rFonts w:cs="Arial"/>
          <w:snapToGrid/>
          <w:szCs w:val="18"/>
          <w:lang w:bidi="en-US"/>
        </w:rPr>
        <w:tab/>
      </w:r>
      <w:r>
        <w:rPr>
          <w:rFonts w:cs="Arial"/>
          <w:snapToGrid/>
          <w:szCs w:val="18"/>
          <w:lang w:bidi="en-US"/>
        </w:rPr>
        <w:tab/>
      </w:r>
      <w:r w:rsidRPr="007376A2">
        <w:rPr>
          <w:rFonts w:cs="Arial"/>
          <w:snapToGrid/>
          <w:szCs w:val="18"/>
          <w:lang w:bidi="en-US"/>
        </w:rPr>
        <w:t>The Legislature, the Department of Finance, the State Board of Education, and the Legislative Analyst’s Office.</w:t>
      </w:r>
    </w:p>
    <w:p w14:paraId="164F9E87" w14:textId="77777777" w:rsidR="00577D0D" w:rsidRDefault="000664BA" w:rsidP="00511C18">
      <w:pPr>
        <w:widowControl/>
        <w:tabs>
          <w:tab w:val="left" w:pos="1080"/>
        </w:tabs>
        <w:spacing w:after="240"/>
        <w:jc w:val="both"/>
        <w:rPr>
          <w:rFonts w:cs="Arial"/>
          <w:snapToGrid/>
          <w:szCs w:val="18"/>
          <w:lang w:bidi="en-US"/>
        </w:rPr>
        <w:sectPr w:rsidR="00577D0D" w:rsidSect="00EE246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576" w:footer="576" w:gutter="0"/>
          <w:pgNumType w:fmt="lowerRoman" w:start="1"/>
          <w:cols w:space="720"/>
          <w:titlePg/>
          <w:docGrid w:linePitch="360"/>
        </w:sectPr>
      </w:pPr>
      <w:r w:rsidRPr="007376A2">
        <w:rPr>
          <w:rFonts w:cs="Arial"/>
          <w:i/>
          <w:snapToGrid/>
          <w:szCs w:val="18"/>
          <w:lang w:bidi="en-US"/>
        </w:rPr>
        <w:t>Due Date</w:t>
      </w:r>
      <w:r w:rsidRPr="007376A2">
        <w:rPr>
          <w:rFonts w:cs="Arial"/>
          <w:snapToGrid/>
          <w:szCs w:val="18"/>
          <w:lang w:bidi="en-US"/>
        </w:rPr>
        <w:t xml:space="preserve">: </w:t>
      </w:r>
      <w:r w:rsidRPr="007376A2">
        <w:rPr>
          <w:rFonts w:cs="Arial"/>
          <w:snapToGrid/>
          <w:szCs w:val="18"/>
          <w:lang w:bidi="en-US"/>
        </w:rPr>
        <w:tab/>
        <w:t>On or before November 30 of each year</w:t>
      </w:r>
      <w:r>
        <w:rPr>
          <w:rFonts w:cs="Arial"/>
          <w:snapToGrid/>
          <w:szCs w:val="18"/>
          <w:lang w:bidi="en-US"/>
        </w:rPr>
        <w:t xml:space="preserve"> </w:t>
      </w:r>
      <w:r w:rsidR="00E90E51">
        <w:rPr>
          <w:rFonts w:cs="Arial"/>
          <w:snapToGrid/>
          <w:szCs w:val="18"/>
          <w:lang w:bidi="en-US"/>
        </w:rPr>
        <w:t>to</w:t>
      </w:r>
      <w:r w:rsidRPr="007376A2">
        <w:rPr>
          <w:rFonts w:cs="Arial"/>
          <w:snapToGrid/>
          <w:szCs w:val="18"/>
          <w:lang w:bidi="en-US"/>
        </w:rPr>
        <w:t xml:space="preserve"> 2020.</w:t>
      </w:r>
    </w:p>
    <w:sdt>
      <w:sdtPr>
        <w:rPr>
          <w:rFonts w:ascii="Arial" w:eastAsia="Times New Roman" w:hAnsi="Arial" w:cs="Arial"/>
          <w:b/>
          <w:color w:val="auto"/>
          <w:sz w:val="24"/>
          <w:szCs w:val="20"/>
        </w:rPr>
        <w:id w:val="-1844768541"/>
        <w:docPartObj>
          <w:docPartGallery w:val="Table of Contents"/>
          <w:docPartUnique/>
        </w:docPartObj>
      </w:sdtPr>
      <w:sdtEndPr>
        <w:rPr>
          <w:rFonts w:cs="Times New Roman"/>
          <w:bCs/>
          <w:noProof/>
        </w:rPr>
      </w:sdtEndPr>
      <w:sdtContent>
        <w:p w14:paraId="7F833E6D" w14:textId="42E7932D" w:rsidR="006E41D4" w:rsidRPr="006E41D4" w:rsidRDefault="006E41D4" w:rsidP="006E41D4">
          <w:pPr>
            <w:pStyle w:val="TOCHeading"/>
            <w:spacing w:before="0"/>
            <w:rPr>
              <w:rFonts w:ascii="Arial" w:hAnsi="Arial" w:cs="Arial"/>
              <w:b/>
              <w:color w:val="auto"/>
              <w:sz w:val="24"/>
            </w:rPr>
          </w:pPr>
          <w:r w:rsidRPr="006E41D4">
            <w:rPr>
              <w:rFonts w:ascii="Arial" w:hAnsi="Arial" w:cs="Arial"/>
              <w:b/>
              <w:color w:val="auto"/>
              <w:sz w:val="24"/>
            </w:rPr>
            <w:t>Table of Contents</w:t>
          </w:r>
        </w:p>
        <w:p w14:paraId="7E74924A" w14:textId="663F7DA0" w:rsidR="006E41D4" w:rsidRDefault="006E41D4">
          <w:pPr>
            <w:pStyle w:val="TOC1"/>
            <w:tabs>
              <w:tab w:val="right" w:leader="dot" w:pos="935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46228491" w:history="1">
            <w:r w:rsidRPr="00026314">
              <w:rPr>
                <w:rStyle w:val="Hyperlink"/>
                <w:noProof/>
              </w:rPr>
              <w:t>Executive Summary</w:t>
            </w:r>
            <w:r>
              <w:rPr>
                <w:noProof/>
                <w:webHidden/>
              </w:rPr>
              <w:tab/>
            </w:r>
            <w:r>
              <w:rPr>
                <w:noProof/>
                <w:webHidden/>
              </w:rPr>
              <w:fldChar w:fldCharType="begin"/>
            </w:r>
            <w:r>
              <w:rPr>
                <w:noProof/>
                <w:webHidden/>
              </w:rPr>
              <w:instrText xml:space="preserve"> PAGEREF _Toc46228491 \h </w:instrText>
            </w:r>
            <w:r>
              <w:rPr>
                <w:noProof/>
                <w:webHidden/>
              </w:rPr>
            </w:r>
            <w:r>
              <w:rPr>
                <w:noProof/>
                <w:webHidden/>
              </w:rPr>
              <w:fldChar w:fldCharType="separate"/>
            </w:r>
            <w:r>
              <w:rPr>
                <w:noProof/>
                <w:webHidden/>
              </w:rPr>
              <w:t>2</w:t>
            </w:r>
            <w:r>
              <w:rPr>
                <w:noProof/>
                <w:webHidden/>
              </w:rPr>
              <w:fldChar w:fldCharType="end"/>
            </w:r>
          </w:hyperlink>
        </w:p>
        <w:p w14:paraId="591D2B59" w14:textId="4308232A" w:rsidR="006E41D4" w:rsidRDefault="009554AF">
          <w:pPr>
            <w:pStyle w:val="TOC2"/>
            <w:tabs>
              <w:tab w:val="right" w:leader="dot" w:pos="9350"/>
            </w:tabs>
            <w:rPr>
              <w:rFonts w:asciiTheme="minorHAnsi" w:eastAsiaTheme="minorEastAsia" w:hAnsiTheme="minorHAnsi" w:cstheme="minorBidi"/>
              <w:noProof/>
              <w:snapToGrid/>
              <w:sz w:val="22"/>
              <w:szCs w:val="22"/>
            </w:rPr>
          </w:pPr>
          <w:hyperlink w:anchor="_Toc46228492" w:history="1">
            <w:r w:rsidR="006E41D4" w:rsidRPr="00026314">
              <w:rPr>
                <w:rStyle w:val="Hyperlink"/>
                <w:noProof/>
              </w:rPr>
              <w:t>I. Introduction</w:t>
            </w:r>
            <w:r w:rsidR="006E41D4">
              <w:rPr>
                <w:noProof/>
                <w:webHidden/>
              </w:rPr>
              <w:tab/>
            </w:r>
            <w:r w:rsidR="006E41D4">
              <w:rPr>
                <w:noProof/>
                <w:webHidden/>
              </w:rPr>
              <w:fldChar w:fldCharType="begin"/>
            </w:r>
            <w:r w:rsidR="006E41D4">
              <w:rPr>
                <w:noProof/>
                <w:webHidden/>
              </w:rPr>
              <w:instrText xml:space="preserve"> PAGEREF _Toc46228492 \h </w:instrText>
            </w:r>
            <w:r w:rsidR="006E41D4">
              <w:rPr>
                <w:noProof/>
                <w:webHidden/>
              </w:rPr>
            </w:r>
            <w:r w:rsidR="006E41D4">
              <w:rPr>
                <w:noProof/>
                <w:webHidden/>
              </w:rPr>
              <w:fldChar w:fldCharType="separate"/>
            </w:r>
            <w:r w:rsidR="006E41D4">
              <w:rPr>
                <w:noProof/>
                <w:webHidden/>
              </w:rPr>
              <w:t>3</w:t>
            </w:r>
            <w:r w:rsidR="006E41D4">
              <w:rPr>
                <w:noProof/>
                <w:webHidden/>
              </w:rPr>
              <w:fldChar w:fldCharType="end"/>
            </w:r>
          </w:hyperlink>
        </w:p>
        <w:p w14:paraId="4F14E8F2" w14:textId="22BD2F81" w:rsidR="006E41D4" w:rsidRDefault="009554AF">
          <w:pPr>
            <w:pStyle w:val="TOC2"/>
            <w:tabs>
              <w:tab w:val="right" w:leader="dot" w:pos="9350"/>
            </w:tabs>
            <w:rPr>
              <w:rFonts w:asciiTheme="minorHAnsi" w:eastAsiaTheme="minorEastAsia" w:hAnsiTheme="minorHAnsi" w:cstheme="minorBidi"/>
              <w:noProof/>
              <w:snapToGrid/>
              <w:sz w:val="22"/>
              <w:szCs w:val="22"/>
            </w:rPr>
          </w:pPr>
          <w:hyperlink w:anchor="_Toc46228493" w:history="1">
            <w:r w:rsidR="006E41D4" w:rsidRPr="00026314">
              <w:rPr>
                <w:rStyle w:val="Hyperlink"/>
                <w:noProof/>
              </w:rPr>
              <w:t>II. CEPIP Description</w:t>
            </w:r>
            <w:r w:rsidR="006E41D4">
              <w:rPr>
                <w:noProof/>
                <w:webHidden/>
              </w:rPr>
              <w:tab/>
            </w:r>
            <w:r w:rsidR="006E41D4">
              <w:rPr>
                <w:noProof/>
                <w:webHidden/>
              </w:rPr>
              <w:fldChar w:fldCharType="begin"/>
            </w:r>
            <w:r w:rsidR="006E41D4">
              <w:rPr>
                <w:noProof/>
                <w:webHidden/>
              </w:rPr>
              <w:instrText xml:space="preserve"> PAGEREF _Toc46228493 \h </w:instrText>
            </w:r>
            <w:r w:rsidR="006E41D4">
              <w:rPr>
                <w:noProof/>
                <w:webHidden/>
              </w:rPr>
            </w:r>
            <w:r w:rsidR="006E41D4">
              <w:rPr>
                <w:noProof/>
                <w:webHidden/>
              </w:rPr>
              <w:fldChar w:fldCharType="separate"/>
            </w:r>
            <w:r w:rsidR="006E41D4">
              <w:rPr>
                <w:noProof/>
                <w:webHidden/>
              </w:rPr>
              <w:t>4</w:t>
            </w:r>
            <w:r w:rsidR="006E41D4">
              <w:rPr>
                <w:noProof/>
                <w:webHidden/>
              </w:rPr>
              <w:fldChar w:fldCharType="end"/>
            </w:r>
          </w:hyperlink>
        </w:p>
        <w:p w14:paraId="7039702A" w14:textId="67EB2866" w:rsidR="006E41D4" w:rsidRDefault="009554AF">
          <w:pPr>
            <w:pStyle w:val="TOC3"/>
            <w:rPr>
              <w:rFonts w:asciiTheme="minorHAnsi" w:hAnsiTheme="minorHAnsi" w:cstheme="minorBidi"/>
              <w:sz w:val="22"/>
              <w:szCs w:val="22"/>
            </w:rPr>
          </w:pPr>
          <w:hyperlink w:anchor="_Toc46228494" w:history="1">
            <w:r w:rsidR="006E41D4" w:rsidRPr="00026314">
              <w:rPr>
                <w:rStyle w:val="Hyperlink"/>
              </w:rPr>
              <w:t>CEPIP Goals</w:t>
            </w:r>
            <w:r w:rsidR="006E41D4">
              <w:rPr>
                <w:webHidden/>
              </w:rPr>
              <w:tab/>
            </w:r>
            <w:r w:rsidR="006E41D4">
              <w:rPr>
                <w:webHidden/>
              </w:rPr>
              <w:fldChar w:fldCharType="begin"/>
            </w:r>
            <w:r w:rsidR="006E41D4">
              <w:rPr>
                <w:webHidden/>
              </w:rPr>
              <w:instrText xml:space="preserve"> PAGEREF _Toc46228494 \h </w:instrText>
            </w:r>
            <w:r w:rsidR="006E41D4">
              <w:rPr>
                <w:webHidden/>
              </w:rPr>
            </w:r>
            <w:r w:rsidR="006E41D4">
              <w:rPr>
                <w:webHidden/>
              </w:rPr>
              <w:fldChar w:fldCharType="separate"/>
            </w:r>
            <w:r w:rsidR="006E41D4">
              <w:rPr>
                <w:webHidden/>
              </w:rPr>
              <w:t>4</w:t>
            </w:r>
            <w:r w:rsidR="006E41D4">
              <w:rPr>
                <w:webHidden/>
              </w:rPr>
              <w:fldChar w:fldCharType="end"/>
            </w:r>
          </w:hyperlink>
        </w:p>
        <w:p w14:paraId="6690FCCF" w14:textId="0310A265" w:rsidR="006E41D4" w:rsidRDefault="009554AF">
          <w:pPr>
            <w:pStyle w:val="TOC3"/>
            <w:rPr>
              <w:rFonts w:asciiTheme="minorHAnsi" w:hAnsiTheme="minorHAnsi" w:cstheme="minorBidi"/>
              <w:sz w:val="22"/>
              <w:szCs w:val="22"/>
            </w:rPr>
          </w:pPr>
          <w:hyperlink w:anchor="_Toc46228495" w:history="1">
            <w:r w:rsidR="006E41D4" w:rsidRPr="00026314">
              <w:rPr>
                <w:rStyle w:val="Hyperlink"/>
              </w:rPr>
              <w:t>Equity Leads’ Targeted Student Groups</w:t>
            </w:r>
            <w:r w:rsidR="006E41D4">
              <w:rPr>
                <w:webHidden/>
              </w:rPr>
              <w:tab/>
            </w:r>
            <w:r w:rsidR="006E41D4">
              <w:rPr>
                <w:webHidden/>
              </w:rPr>
              <w:fldChar w:fldCharType="begin"/>
            </w:r>
            <w:r w:rsidR="006E41D4">
              <w:rPr>
                <w:webHidden/>
              </w:rPr>
              <w:instrText xml:space="preserve"> PAGEREF _Toc46228495 \h </w:instrText>
            </w:r>
            <w:r w:rsidR="006E41D4">
              <w:rPr>
                <w:webHidden/>
              </w:rPr>
            </w:r>
            <w:r w:rsidR="006E41D4">
              <w:rPr>
                <w:webHidden/>
              </w:rPr>
              <w:fldChar w:fldCharType="separate"/>
            </w:r>
            <w:r w:rsidR="006E41D4">
              <w:rPr>
                <w:webHidden/>
              </w:rPr>
              <w:t>5</w:t>
            </w:r>
            <w:r w:rsidR="006E41D4">
              <w:rPr>
                <w:webHidden/>
              </w:rPr>
              <w:fldChar w:fldCharType="end"/>
            </w:r>
          </w:hyperlink>
        </w:p>
        <w:p w14:paraId="633F6D49" w14:textId="5A6BC8B6" w:rsidR="006E41D4" w:rsidRDefault="009554AF">
          <w:pPr>
            <w:pStyle w:val="TOC3"/>
            <w:rPr>
              <w:rFonts w:asciiTheme="minorHAnsi" w:hAnsiTheme="minorHAnsi" w:cstheme="minorBidi"/>
              <w:sz w:val="22"/>
              <w:szCs w:val="22"/>
            </w:rPr>
          </w:pPr>
          <w:hyperlink w:anchor="_Toc46228496" w:history="1">
            <w:r w:rsidR="006E41D4" w:rsidRPr="00026314">
              <w:rPr>
                <w:rStyle w:val="Hyperlink"/>
              </w:rPr>
              <w:t>Equity Leads’ Program Overview and Activities</w:t>
            </w:r>
            <w:r w:rsidR="006E41D4">
              <w:rPr>
                <w:webHidden/>
              </w:rPr>
              <w:tab/>
            </w:r>
            <w:r w:rsidR="006E41D4">
              <w:rPr>
                <w:webHidden/>
              </w:rPr>
              <w:fldChar w:fldCharType="begin"/>
            </w:r>
            <w:r w:rsidR="006E41D4">
              <w:rPr>
                <w:webHidden/>
              </w:rPr>
              <w:instrText xml:space="preserve"> PAGEREF _Toc46228496 \h </w:instrText>
            </w:r>
            <w:r w:rsidR="006E41D4">
              <w:rPr>
                <w:webHidden/>
              </w:rPr>
            </w:r>
            <w:r w:rsidR="006E41D4">
              <w:rPr>
                <w:webHidden/>
              </w:rPr>
              <w:fldChar w:fldCharType="separate"/>
            </w:r>
            <w:r w:rsidR="006E41D4">
              <w:rPr>
                <w:webHidden/>
              </w:rPr>
              <w:t>5</w:t>
            </w:r>
            <w:r w:rsidR="006E41D4">
              <w:rPr>
                <w:webHidden/>
              </w:rPr>
              <w:fldChar w:fldCharType="end"/>
            </w:r>
          </w:hyperlink>
        </w:p>
        <w:p w14:paraId="13506C6E" w14:textId="27CC72F8" w:rsidR="006E41D4" w:rsidRDefault="009554AF">
          <w:pPr>
            <w:pStyle w:val="TOC3"/>
            <w:rPr>
              <w:rFonts w:asciiTheme="minorHAnsi" w:hAnsiTheme="minorHAnsi" w:cstheme="minorBidi"/>
              <w:sz w:val="22"/>
              <w:szCs w:val="22"/>
            </w:rPr>
          </w:pPr>
          <w:hyperlink w:anchor="_Toc46228497" w:history="1">
            <w:r w:rsidR="006E41D4" w:rsidRPr="00026314">
              <w:rPr>
                <w:rStyle w:val="Hyperlink"/>
              </w:rPr>
              <w:t>Collaboration among the Equity Leads, CDE, and WestEd</w:t>
            </w:r>
            <w:r w:rsidR="006E41D4">
              <w:rPr>
                <w:webHidden/>
              </w:rPr>
              <w:tab/>
            </w:r>
            <w:r w:rsidR="006E41D4">
              <w:rPr>
                <w:webHidden/>
              </w:rPr>
              <w:fldChar w:fldCharType="begin"/>
            </w:r>
            <w:r w:rsidR="006E41D4">
              <w:rPr>
                <w:webHidden/>
              </w:rPr>
              <w:instrText xml:space="preserve"> PAGEREF _Toc46228497 \h </w:instrText>
            </w:r>
            <w:r w:rsidR="006E41D4">
              <w:rPr>
                <w:webHidden/>
              </w:rPr>
            </w:r>
            <w:r w:rsidR="006E41D4">
              <w:rPr>
                <w:webHidden/>
              </w:rPr>
              <w:fldChar w:fldCharType="separate"/>
            </w:r>
            <w:r w:rsidR="006E41D4">
              <w:rPr>
                <w:webHidden/>
              </w:rPr>
              <w:t>9</w:t>
            </w:r>
            <w:r w:rsidR="006E41D4">
              <w:rPr>
                <w:webHidden/>
              </w:rPr>
              <w:fldChar w:fldCharType="end"/>
            </w:r>
          </w:hyperlink>
        </w:p>
        <w:p w14:paraId="0F5C6273" w14:textId="5849F586" w:rsidR="006E41D4" w:rsidRDefault="009554AF">
          <w:pPr>
            <w:pStyle w:val="TOC2"/>
            <w:tabs>
              <w:tab w:val="right" w:leader="dot" w:pos="9350"/>
            </w:tabs>
            <w:rPr>
              <w:rFonts w:asciiTheme="minorHAnsi" w:eastAsiaTheme="minorEastAsia" w:hAnsiTheme="minorHAnsi" w:cstheme="minorBidi"/>
              <w:noProof/>
              <w:snapToGrid/>
              <w:sz w:val="22"/>
              <w:szCs w:val="22"/>
            </w:rPr>
          </w:pPr>
          <w:hyperlink w:anchor="_Toc46228498" w:history="1">
            <w:r w:rsidR="006E41D4" w:rsidRPr="00026314">
              <w:rPr>
                <w:rStyle w:val="Hyperlink"/>
                <w:noProof/>
              </w:rPr>
              <w:t>III. CEPIP Activity Report Summary</w:t>
            </w:r>
            <w:r w:rsidR="006E41D4">
              <w:rPr>
                <w:noProof/>
                <w:webHidden/>
              </w:rPr>
              <w:tab/>
            </w:r>
            <w:r w:rsidR="006E41D4">
              <w:rPr>
                <w:noProof/>
                <w:webHidden/>
              </w:rPr>
              <w:fldChar w:fldCharType="begin"/>
            </w:r>
            <w:r w:rsidR="006E41D4">
              <w:rPr>
                <w:noProof/>
                <w:webHidden/>
              </w:rPr>
              <w:instrText xml:space="preserve"> PAGEREF _Toc46228498 \h </w:instrText>
            </w:r>
            <w:r w:rsidR="006E41D4">
              <w:rPr>
                <w:noProof/>
                <w:webHidden/>
              </w:rPr>
            </w:r>
            <w:r w:rsidR="006E41D4">
              <w:rPr>
                <w:noProof/>
                <w:webHidden/>
              </w:rPr>
              <w:fldChar w:fldCharType="separate"/>
            </w:r>
            <w:r w:rsidR="006E41D4">
              <w:rPr>
                <w:noProof/>
                <w:webHidden/>
              </w:rPr>
              <w:t>10</w:t>
            </w:r>
            <w:r w:rsidR="006E41D4">
              <w:rPr>
                <w:noProof/>
                <w:webHidden/>
              </w:rPr>
              <w:fldChar w:fldCharType="end"/>
            </w:r>
          </w:hyperlink>
        </w:p>
        <w:p w14:paraId="663988E0" w14:textId="668F8764" w:rsidR="006E41D4" w:rsidRDefault="009554AF">
          <w:pPr>
            <w:pStyle w:val="TOC3"/>
            <w:rPr>
              <w:rFonts w:asciiTheme="minorHAnsi" w:hAnsiTheme="minorHAnsi" w:cstheme="minorBidi"/>
              <w:sz w:val="22"/>
              <w:szCs w:val="22"/>
            </w:rPr>
          </w:pPr>
          <w:hyperlink w:anchor="_Toc46228499" w:history="1">
            <w:r w:rsidR="006E41D4" w:rsidRPr="00026314">
              <w:rPr>
                <w:rStyle w:val="Hyperlink"/>
              </w:rPr>
              <w:t>Summary of Activities Conducted and Resources Developed</w:t>
            </w:r>
            <w:r w:rsidR="006E41D4">
              <w:rPr>
                <w:webHidden/>
              </w:rPr>
              <w:tab/>
            </w:r>
            <w:r w:rsidR="006E41D4">
              <w:rPr>
                <w:webHidden/>
              </w:rPr>
              <w:fldChar w:fldCharType="begin"/>
            </w:r>
            <w:r w:rsidR="006E41D4">
              <w:rPr>
                <w:webHidden/>
              </w:rPr>
              <w:instrText xml:space="preserve"> PAGEREF _Toc46228499 \h </w:instrText>
            </w:r>
            <w:r w:rsidR="006E41D4">
              <w:rPr>
                <w:webHidden/>
              </w:rPr>
            </w:r>
            <w:r w:rsidR="006E41D4">
              <w:rPr>
                <w:webHidden/>
              </w:rPr>
              <w:fldChar w:fldCharType="separate"/>
            </w:r>
            <w:r w:rsidR="006E41D4">
              <w:rPr>
                <w:webHidden/>
              </w:rPr>
              <w:t>10</w:t>
            </w:r>
            <w:r w:rsidR="006E41D4">
              <w:rPr>
                <w:webHidden/>
              </w:rPr>
              <w:fldChar w:fldCharType="end"/>
            </w:r>
          </w:hyperlink>
        </w:p>
        <w:p w14:paraId="4844F4EE" w14:textId="6BDD5FD8" w:rsidR="006E41D4" w:rsidRDefault="009554AF">
          <w:pPr>
            <w:pStyle w:val="TOC3"/>
            <w:rPr>
              <w:rFonts w:asciiTheme="minorHAnsi" w:hAnsiTheme="minorHAnsi" w:cstheme="minorBidi"/>
              <w:sz w:val="22"/>
              <w:szCs w:val="22"/>
            </w:rPr>
          </w:pPr>
          <w:hyperlink w:anchor="_Toc46228500" w:history="1">
            <w:r w:rsidR="006E41D4" w:rsidRPr="00026314">
              <w:rPr>
                <w:rStyle w:val="Hyperlink"/>
              </w:rPr>
              <w:t>The Number of Schools, Districts, and/or COEs, Educators, and Pupils Served</w:t>
            </w:r>
            <w:r w:rsidR="006E41D4">
              <w:rPr>
                <w:webHidden/>
              </w:rPr>
              <w:tab/>
            </w:r>
            <w:r w:rsidR="006E41D4">
              <w:rPr>
                <w:webHidden/>
              </w:rPr>
              <w:fldChar w:fldCharType="begin"/>
            </w:r>
            <w:r w:rsidR="006E41D4">
              <w:rPr>
                <w:webHidden/>
              </w:rPr>
              <w:instrText xml:space="preserve"> PAGEREF _Toc46228500 \h </w:instrText>
            </w:r>
            <w:r w:rsidR="006E41D4">
              <w:rPr>
                <w:webHidden/>
              </w:rPr>
            </w:r>
            <w:r w:rsidR="006E41D4">
              <w:rPr>
                <w:webHidden/>
              </w:rPr>
              <w:fldChar w:fldCharType="separate"/>
            </w:r>
            <w:r w:rsidR="006E41D4">
              <w:rPr>
                <w:webHidden/>
              </w:rPr>
              <w:t>14</w:t>
            </w:r>
            <w:r w:rsidR="006E41D4">
              <w:rPr>
                <w:webHidden/>
              </w:rPr>
              <w:fldChar w:fldCharType="end"/>
            </w:r>
          </w:hyperlink>
        </w:p>
        <w:p w14:paraId="18753C75" w14:textId="7E29AA5F" w:rsidR="006E41D4" w:rsidRDefault="009554AF">
          <w:pPr>
            <w:pStyle w:val="TOC2"/>
            <w:tabs>
              <w:tab w:val="right" w:leader="dot" w:pos="9350"/>
            </w:tabs>
            <w:rPr>
              <w:rFonts w:asciiTheme="minorHAnsi" w:eastAsiaTheme="minorEastAsia" w:hAnsiTheme="minorHAnsi" w:cstheme="minorBidi"/>
              <w:noProof/>
              <w:snapToGrid/>
              <w:sz w:val="22"/>
              <w:szCs w:val="22"/>
            </w:rPr>
          </w:pPr>
          <w:hyperlink w:anchor="_Toc46228501" w:history="1">
            <w:r w:rsidR="006E41D4" w:rsidRPr="00026314">
              <w:rPr>
                <w:rStyle w:val="Hyperlink"/>
                <w:noProof/>
              </w:rPr>
              <w:t>IV. Summary of Outcome Data Resulting from the Activities Conducted</w:t>
            </w:r>
            <w:r w:rsidR="006E41D4">
              <w:rPr>
                <w:noProof/>
                <w:webHidden/>
              </w:rPr>
              <w:tab/>
            </w:r>
            <w:r w:rsidR="006E41D4">
              <w:rPr>
                <w:noProof/>
                <w:webHidden/>
              </w:rPr>
              <w:fldChar w:fldCharType="begin"/>
            </w:r>
            <w:r w:rsidR="006E41D4">
              <w:rPr>
                <w:noProof/>
                <w:webHidden/>
              </w:rPr>
              <w:instrText xml:space="preserve"> PAGEREF _Toc46228501 \h </w:instrText>
            </w:r>
            <w:r w:rsidR="006E41D4">
              <w:rPr>
                <w:noProof/>
                <w:webHidden/>
              </w:rPr>
            </w:r>
            <w:r w:rsidR="006E41D4">
              <w:rPr>
                <w:noProof/>
                <w:webHidden/>
              </w:rPr>
              <w:fldChar w:fldCharType="separate"/>
            </w:r>
            <w:r w:rsidR="006E41D4">
              <w:rPr>
                <w:noProof/>
                <w:webHidden/>
              </w:rPr>
              <w:t>23</w:t>
            </w:r>
            <w:r w:rsidR="006E41D4">
              <w:rPr>
                <w:noProof/>
                <w:webHidden/>
              </w:rPr>
              <w:fldChar w:fldCharType="end"/>
            </w:r>
          </w:hyperlink>
        </w:p>
        <w:p w14:paraId="649D20DB" w14:textId="41845FEC" w:rsidR="006E41D4" w:rsidRDefault="009554AF">
          <w:pPr>
            <w:pStyle w:val="TOC3"/>
            <w:rPr>
              <w:rFonts w:asciiTheme="minorHAnsi" w:hAnsiTheme="minorHAnsi" w:cstheme="minorBidi"/>
              <w:sz w:val="22"/>
              <w:szCs w:val="22"/>
            </w:rPr>
          </w:pPr>
          <w:hyperlink w:anchor="_Toc46228502" w:history="1">
            <w:r w:rsidR="006E41D4" w:rsidRPr="00026314">
              <w:rPr>
                <w:rStyle w:val="Hyperlink"/>
              </w:rPr>
              <w:t>Renewed Educator’s Mission and Commitment to Equity for Action</w:t>
            </w:r>
            <w:r w:rsidR="006E41D4">
              <w:rPr>
                <w:webHidden/>
              </w:rPr>
              <w:tab/>
            </w:r>
            <w:r w:rsidR="006E41D4">
              <w:rPr>
                <w:webHidden/>
              </w:rPr>
              <w:fldChar w:fldCharType="begin"/>
            </w:r>
            <w:r w:rsidR="006E41D4">
              <w:rPr>
                <w:webHidden/>
              </w:rPr>
              <w:instrText xml:space="preserve"> PAGEREF _Toc46228502 \h </w:instrText>
            </w:r>
            <w:r w:rsidR="006E41D4">
              <w:rPr>
                <w:webHidden/>
              </w:rPr>
            </w:r>
            <w:r w:rsidR="006E41D4">
              <w:rPr>
                <w:webHidden/>
              </w:rPr>
              <w:fldChar w:fldCharType="separate"/>
            </w:r>
            <w:r w:rsidR="006E41D4">
              <w:rPr>
                <w:webHidden/>
              </w:rPr>
              <w:t>23</w:t>
            </w:r>
            <w:r w:rsidR="006E41D4">
              <w:rPr>
                <w:webHidden/>
              </w:rPr>
              <w:fldChar w:fldCharType="end"/>
            </w:r>
          </w:hyperlink>
        </w:p>
        <w:p w14:paraId="7B024EEA" w14:textId="013A4853" w:rsidR="006E41D4" w:rsidRDefault="009554AF">
          <w:pPr>
            <w:pStyle w:val="TOC2"/>
            <w:tabs>
              <w:tab w:val="right" w:leader="dot" w:pos="9350"/>
            </w:tabs>
            <w:rPr>
              <w:rFonts w:asciiTheme="minorHAnsi" w:eastAsiaTheme="minorEastAsia" w:hAnsiTheme="minorHAnsi" w:cstheme="minorBidi"/>
              <w:noProof/>
              <w:snapToGrid/>
              <w:sz w:val="22"/>
              <w:szCs w:val="22"/>
            </w:rPr>
          </w:pPr>
          <w:hyperlink w:anchor="_Toc46228503" w:history="1">
            <w:r w:rsidR="006E41D4" w:rsidRPr="00026314">
              <w:rPr>
                <w:rStyle w:val="Hyperlink"/>
                <w:noProof/>
              </w:rPr>
              <w:t>V. Summary of State-level Activity to Promote Equity</w:t>
            </w:r>
            <w:r w:rsidR="006E41D4">
              <w:rPr>
                <w:noProof/>
                <w:webHidden/>
              </w:rPr>
              <w:tab/>
            </w:r>
            <w:r w:rsidR="006E41D4">
              <w:rPr>
                <w:noProof/>
                <w:webHidden/>
              </w:rPr>
              <w:fldChar w:fldCharType="begin"/>
            </w:r>
            <w:r w:rsidR="006E41D4">
              <w:rPr>
                <w:noProof/>
                <w:webHidden/>
              </w:rPr>
              <w:instrText xml:space="preserve"> PAGEREF _Toc46228503 \h </w:instrText>
            </w:r>
            <w:r w:rsidR="006E41D4">
              <w:rPr>
                <w:noProof/>
                <w:webHidden/>
              </w:rPr>
            </w:r>
            <w:r w:rsidR="006E41D4">
              <w:rPr>
                <w:noProof/>
                <w:webHidden/>
              </w:rPr>
              <w:fldChar w:fldCharType="separate"/>
            </w:r>
            <w:r w:rsidR="006E41D4">
              <w:rPr>
                <w:noProof/>
                <w:webHidden/>
              </w:rPr>
              <w:t>27</w:t>
            </w:r>
            <w:r w:rsidR="006E41D4">
              <w:rPr>
                <w:noProof/>
                <w:webHidden/>
              </w:rPr>
              <w:fldChar w:fldCharType="end"/>
            </w:r>
          </w:hyperlink>
        </w:p>
        <w:p w14:paraId="229A73A6" w14:textId="29FAFB19" w:rsidR="006E41D4" w:rsidRDefault="009554AF">
          <w:pPr>
            <w:pStyle w:val="TOC3"/>
            <w:rPr>
              <w:rFonts w:asciiTheme="minorHAnsi" w:hAnsiTheme="minorHAnsi" w:cstheme="minorBidi"/>
              <w:sz w:val="22"/>
              <w:szCs w:val="22"/>
            </w:rPr>
          </w:pPr>
          <w:hyperlink w:anchor="_Toc46228504" w:history="1">
            <w:r w:rsidR="006E41D4" w:rsidRPr="00026314">
              <w:rPr>
                <w:rStyle w:val="Hyperlink"/>
              </w:rPr>
              <w:t>Hosting Statewide Equity Conferences</w:t>
            </w:r>
            <w:r w:rsidR="006E41D4">
              <w:rPr>
                <w:webHidden/>
              </w:rPr>
              <w:tab/>
            </w:r>
            <w:r w:rsidR="006E41D4">
              <w:rPr>
                <w:webHidden/>
              </w:rPr>
              <w:fldChar w:fldCharType="begin"/>
            </w:r>
            <w:r w:rsidR="006E41D4">
              <w:rPr>
                <w:webHidden/>
              </w:rPr>
              <w:instrText xml:space="preserve"> PAGEREF _Toc46228504 \h </w:instrText>
            </w:r>
            <w:r w:rsidR="006E41D4">
              <w:rPr>
                <w:webHidden/>
              </w:rPr>
            </w:r>
            <w:r w:rsidR="006E41D4">
              <w:rPr>
                <w:webHidden/>
              </w:rPr>
              <w:fldChar w:fldCharType="separate"/>
            </w:r>
            <w:r w:rsidR="006E41D4">
              <w:rPr>
                <w:webHidden/>
              </w:rPr>
              <w:t>28</w:t>
            </w:r>
            <w:r w:rsidR="006E41D4">
              <w:rPr>
                <w:webHidden/>
              </w:rPr>
              <w:fldChar w:fldCharType="end"/>
            </w:r>
          </w:hyperlink>
        </w:p>
        <w:p w14:paraId="1A537EE6" w14:textId="09379191" w:rsidR="006E41D4" w:rsidRDefault="009554AF">
          <w:pPr>
            <w:pStyle w:val="TOC2"/>
            <w:tabs>
              <w:tab w:val="right" w:leader="dot" w:pos="9350"/>
            </w:tabs>
            <w:rPr>
              <w:rFonts w:asciiTheme="minorHAnsi" w:eastAsiaTheme="minorEastAsia" w:hAnsiTheme="minorHAnsi" w:cstheme="minorBidi"/>
              <w:noProof/>
              <w:snapToGrid/>
              <w:sz w:val="22"/>
              <w:szCs w:val="22"/>
            </w:rPr>
          </w:pPr>
          <w:hyperlink w:anchor="_Toc46228505" w:history="1">
            <w:r w:rsidR="006E41D4" w:rsidRPr="00026314">
              <w:rPr>
                <w:rStyle w:val="Hyperlink"/>
                <w:noProof/>
              </w:rPr>
              <w:t>VI. Recommendations</w:t>
            </w:r>
            <w:r w:rsidR="006E41D4">
              <w:rPr>
                <w:noProof/>
                <w:webHidden/>
              </w:rPr>
              <w:tab/>
            </w:r>
            <w:r w:rsidR="006E41D4">
              <w:rPr>
                <w:noProof/>
                <w:webHidden/>
              </w:rPr>
              <w:fldChar w:fldCharType="begin"/>
            </w:r>
            <w:r w:rsidR="006E41D4">
              <w:rPr>
                <w:noProof/>
                <w:webHidden/>
              </w:rPr>
              <w:instrText xml:space="preserve"> PAGEREF _Toc46228505 \h </w:instrText>
            </w:r>
            <w:r w:rsidR="006E41D4">
              <w:rPr>
                <w:noProof/>
                <w:webHidden/>
              </w:rPr>
            </w:r>
            <w:r w:rsidR="006E41D4">
              <w:rPr>
                <w:noProof/>
                <w:webHidden/>
              </w:rPr>
              <w:fldChar w:fldCharType="separate"/>
            </w:r>
            <w:r w:rsidR="006E41D4">
              <w:rPr>
                <w:noProof/>
                <w:webHidden/>
              </w:rPr>
              <w:t>29</w:t>
            </w:r>
            <w:r w:rsidR="006E41D4">
              <w:rPr>
                <w:noProof/>
                <w:webHidden/>
              </w:rPr>
              <w:fldChar w:fldCharType="end"/>
            </w:r>
          </w:hyperlink>
        </w:p>
        <w:p w14:paraId="1037FDFF" w14:textId="1A340EDD" w:rsidR="006E41D4" w:rsidRDefault="009554AF">
          <w:pPr>
            <w:pStyle w:val="TOC3"/>
            <w:rPr>
              <w:rFonts w:asciiTheme="minorHAnsi" w:hAnsiTheme="minorHAnsi" w:cstheme="minorBidi"/>
              <w:sz w:val="22"/>
              <w:szCs w:val="22"/>
            </w:rPr>
          </w:pPr>
          <w:hyperlink w:anchor="_Toc46228506" w:history="1">
            <w:r w:rsidR="006E41D4" w:rsidRPr="00026314">
              <w:rPr>
                <w:rStyle w:val="Hyperlink"/>
              </w:rPr>
              <w:t>Equity Should Be an Ongoing Discussion in Schools</w:t>
            </w:r>
            <w:r w:rsidR="006E41D4">
              <w:rPr>
                <w:webHidden/>
              </w:rPr>
              <w:tab/>
            </w:r>
            <w:r w:rsidR="006E41D4">
              <w:rPr>
                <w:webHidden/>
              </w:rPr>
              <w:fldChar w:fldCharType="begin"/>
            </w:r>
            <w:r w:rsidR="006E41D4">
              <w:rPr>
                <w:webHidden/>
              </w:rPr>
              <w:instrText xml:space="preserve"> PAGEREF _Toc46228506 \h </w:instrText>
            </w:r>
            <w:r w:rsidR="006E41D4">
              <w:rPr>
                <w:webHidden/>
              </w:rPr>
            </w:r>
            <w:r w:rsidR="006E41D4">
              <w:rPr>
                <w:webHidden/>
              </w:rPr>
              <w:fldChar w:fldCharType="separate"/>
            </w:r>
            <w:r w:rsidR="006E41D4">
              <w:rPr>
                <w:webHidden/>
              </w:rPr>
              <w:t>30</w:t>
            </w:r>
            <w:r w:rsidR="006E41D4">
              <w:rPr>
                <w:webHidden/>
              </w:rPr>
              <w:fldChar w:fldCharType="end"/>
            </w:r>
          </w:hyperlink>
        </w:p>
        <w:p w14:paraId="4F17DB34" w14:textId="79F84BE5" w:rsidR="006E41D4" w:rsidRDefault="009554AF">
          <w:pPr>
            <w:pStyle w:val="TOC3"/>
            <w:rPr>
              <w:rFonts w:asciiTheme="minorHAnsi" w:hAnsiTheme="minorHAnsi" w:cstheme="minorBidi"/>
              <w:sz w:val="22"/>
              <w:szCs w:val="22"/>
            </w:rPr>
          </w:pPr>
          <w:hyperlink w:anchor="_Toc46228507" w:history="1">
            <w:r w:rsidR="006E41D4" w:rsidRPr="00026314">
              <w:rPr>
                <w:rStyle w:val="Hyperlink"/>
              </w:rPr>
              <w:t>Transforming Deep Learning into Actionable Changes</w:t>
            </w:r>
            <w:r w:rsidR="006E41D4">
              <w:rPr>
                <w:webHidden/>
              </w:rPr>
              <w:tab/>
            </w:r>
            <w:r w:rsidR="006E41D4">
              <w:rPr>
                <w:webHidden/>
              </w:rPr>
              <w:fldChar w:fldCharType="begin"/>
            </w:r>
            <w:r w:rsidR="006E41D4">
              <w:rPr>
                <w:webHidden/>
              </w:rPr>
              <w:instrText xml:space="preserve"> PAGEREF _Toc46228507 \h </w:instrText>
            </w:r>
            <w:r w:rsidR="006E41D4">
              <w:rPr>
                <w:webHidden/>
              </w:rPr>
            </w:r>
            <w:r w:rsidR="006E41D4">
              <w:rPr>
                <w:webHidden/>
              </w:rPr>
              <w:fldChar w:fldCharType="separate"/>
            </w:r>
            <w:r w:rsidR="006E41D4">
              <w:rPr>
                <w:webHidden/>
              </w:rPr>
              <w:t>30</w:t>
            </w:r>
            <w:r w:rsidR="006E41D4">
              <w:rPr>
                <w:webHidden/>
              </w:rPr>
              <w:fldChar w:fldCharType="end"/>
            </w:r>
          </w:hyperlink>
        </w:p>
        <w:p w14:paraId="6141433D" w14:textId="1628F413" w:rsidR="006E41D4" w:rsidRDefault="009554AF">
          <w:pPr>
            <w:pStyle w:val="TOC3"/>
            <w:rPr>
              <w:rFonts w:asciiTheme="minorHAnsi" w:hAnsiTheme="minorHAnsi" w:cstheme="minorBidi"/>
              <w:sz w:val="22"/>
              <w:szCs w:val="22"/>
            </w:rPr>
          </w:pPr>
          <w:hyperlink w:anchor="_Toc46228508" w:history="1">
            <w:r w:rsidR="006E41D4" w:rsidRPr="00026314">
              <w:rPr>
                <w:rStyle w:val="Hyperlink"/>
              </w:rPr>
              <w:t>Linking Equity Activities to Outcomes of Students’ Achievement</w:t>
            </w:r>
            <w:r w:rsidR="006E41D4">
              <w:rPr>
                <w:webHidden/>
              </w:rPr>
              <w:tab/>
            </w:r>
            <w:r w:rsidR="006E41D4">
              <w:rPr>
                <w:webHidden/>
              </w:rPr>
              <w:fldChar w:fldCharType="begin"/>
            </w:r>
            <w:r w:rsidR="006E41D4">
              <w:rPr>
                <w:webHidden/>
              </w:rPr>
              <w:instrText xml:space="preserve"> PAGEREF _Toc46228508 \h </w:instrText>
            </w:r>
            <w:r w:rsidR="006E41D4">
              <w:rPr>
                <w:webHidden/>
              </w:rPr>
            </w:r>
            <w:r w:rsidR="006E41D4">
              <w:rPr>
                <w:webHidden/>
              </w:rPr>
              <w:fldChar w:fldCharType="separate"/>
            </w:r>
            <w:r w:rsidR="006E41D4">
              <w:rPr>
                <w:webHidden/>
              </w:rPr>
              <w:t>30</w:t>
            </w:r>
            <w:r w:rsidR="006E41D4">
              <w:rPr>
                <w:webHidden/>
              </w:rPr>
              <w:fldChar w:fldCharType="end"/>
            </w:r>
          </w:hyperlink>
        </w:p>
        <w:p w14:paraId="1FBD63D6" w14:textId="7D026F2F" w:rsidR="006E41D4" w:rsidRDefault="009554AF">
          <w:pPr>
            <w:pStyle w:val="TOC3"/>
            <w:rPr>
              <w:rFonts w:asciiTheme="minorHAnsi" w:hAnsiTheme="minorHAnsi" w:cstheme="minorBidi"/>
              <w:sz w:val="22"/>
              <w:szCs w:val="22"/>
            </w:rPr>
          </w:pPr>
          <w:hyperlink w:anchor="_Toc46228509" w:history="1">
            <w:r w:rsidR="006E41D4" w:rsidRPr="00026314">
              <w:rPr>
                <w:rStyle w:val="Hyperlink"/>
              </w:rPr>
              <w:t>CEPIP Sustainability and Scale up Statewide</w:t>
            </w:r>
            <w:r w:rsidR="006E41D4">
              <w:rPr>
                <w:webHidden/>
              </w:rPr>
              <w:tab/>
            </w:r>
            <w:r w:rsidR="006E41D4">
              <w:rPr>
                <w:webHidden/>
              </w:rPr>
              <w:fldChar w:fldCharType="begin"/>
            </w:r>
            <w:r w:rsidR="006E41D4">
              <w:rPr>
                <w:webHidden/>
              </w:rPr>
              <w:instrText xml:space="preserve"> PAGEREF _Toc46228509 \h </w:instrText>
            </w:r>
            <w:r w:rsidR="006E41D4">
              <w:rPr>
                <w:webHidden/>
              </w:rPr>
            </w:r>
            <w:r w:rsidR="006E41D4">
              <w:rPr>
                <w:webHidden/>
              </w:rPr>
              <w:fldChar w:fldCharType="separate"/>
            </w:r>
            <w:r w:rsidR="006E41D4">
              <w:rPr>
                <w:webHidden/>
              </w:rPr>
              <w:t>31</w:t>
            </w:r>
            <w:r w:rsidR="006E41D4">
              <w:rPr>
                <w:webHidden/>
              </w:rPr>
              <w:fldChar w:fldCharType="end"/>
            </w:r>
          </w:hyperlink>
        </w:p>
        <w:p w14:paraId="3FABD911" w14:textId="610A6131" w:rsidR="006E41D4" w:rsidRDefault="009554AF">
          <w:pPr>
            <w:pStyle w:val="TOC2"/>
            <w:tabs>
              <w:tab w:val="right" w:leader="dot" w:pos="9350"/>
            </w:tabs>
            <w:rPr>
              <w:rFonts w:asciiTheme="minorHAnsi" w:eastAsiaTheme="minorEastAsia" w:hAnsiTheme="minorHAnsi" w:cstheme="minorBidi"/>
              <w:noProof/>
              <w:snapToGrid/>
              <w:sz w:val="22"/>
              <w:szCs w:val="22"/>
            </w:rPr>
          </w:pPr>
          <w:hyperlink w:anchor="_Toc46228510" w:history="1">
            <w:r w:rsidR="006E41D4" w:rsidRPr="00026314">
              <w:rPr>
                <w:rStyle w:val="Hyperlink"/>
                <w:noProof/>
              </w:rPr>
              <w:t>References</w:t>
            </w:r>
            <w:r w:rsidR="006E41D4">
              <w:rPr>
                <w:noProof/>
                <w:webHidden/>
              </w:rPr>
              <w:tab/>
            </w:r>
            <w:r w:rsidR="006E41D4">
              <w:rPr>
                <w:noProof/>
                <w:webHidden/>
              </w:rPr>
              <w:fldChar w:fldCharType="begin"/>
            </w:r>
            <w:r w:rsidR="006E41D4">
              <w:rPr>
                <w:noProof/>
                <w:webHidden/>
              </w:rPr>
              <w:instrText xml:space="preserve"> PAGEREF _Toc46228510 \h </w:instrText>
            </w:r>
            <w:r w:rsidR="006E41D4">
              <w:rPr>
                <w:noProof/>
                <w:webHidden/>
              </w:rPr>
            </w:r>
            <w:r w:rsidR="006E41D4">
              <w:rPr>
                <w:noProof/>
                <w:webHidden/>
              </w:rPr>
              <w:fldChar w:fldCharType="separate"/>
            </w:r>
            <w:r w:rsidR="006E41D4">
              <w:rPr>
                <w:noProof/>
                <w:webHidden/>
              </w:rPr>
              <w:t>32</w:t>
            </w:r>
            <w:r w:rsidR="006E41D4">
              <w:rPr>
                <w:noProof/>
                <w:webHidden/>
              </w:rPr>
              <w:fldChar w:fldCharType="end"/>
            </w:r>
          </w:hyperlink>
        </w:p>
        <w:p w14:paraId="68FEC9D1" w14:textId="440C8E70" w:rsidR="006E41D4" w:rsidRDefault="006E41D4">
          <w:r>
            <w:rPr>
              <w:b/>
              <w:bCs/>
              <w:noProof/>
            </w:rPr>
            <w:fldChar w:fldCharType="end"/>
          </w:r>
        </w:p>
      </w:sdtContent>
    </w:sdt>
    <w:p w14:paraId="47949B82" w14:textId="77777777" w:rsidR="006E41D4" w:rsidRDefault="006E41D4" w:rsidP="00511C18">
      <w:pPr>
        <w:pStyle w:val="Heading1"/>
        <w:spacing w:before="0"/>
        <w:jc w:val="left"/>
      </w:pPr>
      <w:r>
        <w:br w:type="page"/>
      </w:r>
    </w:p>
    <w:p w14:paraId="3DC55821" w14:textId="6B62C7B7" w:rsidR="000664BA" w:rsidRPr="005E6A8D" w:rsidRDefault="000664BA" w:rsidP="00511C18">
      <w:pPr>
        <w:pStyle w:val="Heading1"/>
        <w:spacing w:before="0"/>
        <w:jc w:val="left"/>
      </w:pPr>
      <w:bookmarkStart w:id="10" w:name="_Toc46228491"/>
      <w:r w:rsidRPr="005E6A8D">
        <w:lastRenderedPageBreak/>
        <w:t>Executive Summary</w:t>
      </w:r>
      <w:bookmarkEnd w:id="10"/>
    </w:p>
    <w:p w14:paraId="56D2AD46" w14:textId="6032DF2D" w:rsidR="000664BA" w:rsidRPr="00F35E9F" w:rsidRDefault="000664BA" w:rsidP="00511C18">
      <w:pPr>
        <w:spacing w:before="240" w:after="240"/>
        <w:rPr>
          <w:rFonts w:cs="Arial"/>
          <w:szCs w:val="24"/>
        </w:rPr>
      </w:pPr>
      <w:r>
        <w:rPr>
          <w:rFonts w:cs="Arial"/>
          <w:szCs w:val="24"/>
        </w:rPr>
        <w:t xml:space="preserve">This report </w:t>
      </w:r>
      <w:r w:rsidR="00B52024">
        <w:rPr>
          <w:rFonts w:cs="Arial"/>
          <w:szCs w:val="24"/>
        </w:rPr>
        <w:t>is the second</w:t>
      </w:r>
      <w:r w:rsidR="00C2685B">
        <w:rPr>
          <w:rFonts w:cs="Arial"/>
          <w:szCs w:val="24"/>
        </w:rPr>
        <w:t xml:space="preserve"> legislative report about</w:t>
      </w:r>
      <w:r w:rsidR="00B63C6A">
        <w:rPr>
          <w:rFonts w:cs="Arial"/>
          <w:szCs w:val="24"/>
        </w:rPr>
        <w:t xml:space="preserve"> the California Equity Performance and Improvement Program (CEPIP). It </w:t>
      </w:r>
      <w:r>
        <w:rPr>
          <w:rFonts w:cs="Arial"/>
          <w:szCs w:val="24"/>
        </w:rPr>
        <w:t xml:space="preserve">summarizes the first year of the implementation of the </w:t>
      </w:r>
      <w:r w:rsidR="00B63C6A">
        <w:rPr>
          <w:rFonts w:cs="Arial"/>
          <w:szCs w:val="24"/>
        </w:rPr>
        <w:t>CEPIP</w:t>
      </w:r>
      <w:r w:rsidR="00B52024">
        <w:rPr>
          <w:rFonts w:cs="Arial"/>
          <w:szCs w:val="24"/>
        </w:rPr>
        <w:t xml:space="preserve"> from July 1, 2018</w:t>
      </w:r>
      <w:r w:rsidR="00C321B7">
        <w:rPr>
          <w:rFonts w:cs="Arial"/>
          <w:szCs w:val="24"/>
        </w:rPr>
        <w:t>,</w:t>
      </w:r>
      <w:r w:rsidR="00B52024">
        <w:rPr>
          <w:rFonts w:cs="Arial"/>
          <w:szCs w:val="24"/>
        </w:rPr>
        <w:t xml:space="preserve"> to June 30, 2019</w:t>
      </w:r>
      <w:r>
        <w:rPr>
          <w:rFonts w:cs="Arial"/>
          <w:szCs w:val="24"/>
        </w:rPr>
        <w:t xml:space="preserve">. </w:t>
      </w:r>
      <w:r w:rsidR="00B52024">
        <w:rPr>
          <w:rFonts w:cs="Arial"/>
          <w:szCs w:val="24"/>
        </w:rPr>
        <w:t>The first repo</w:t>
      </w:r>
      <w:r w:rsidR="009C0202">
        <w:rPr>
          <w:rFonts w:cs="Arial"/>
          <w:szCs w:val="24"/>
        </w:rPr>
        <w:t>rt of 2018 CEPIP reported the development of the CEPIP and lead agency selection process at the California Department of Education (CDE) from July 1, 2017</w:t>
      </w:r>
      <w:r w:rsidR="00C321B7">
        <w:rPr>
          <w:rFonts w:cs="Arial"/>
          <w:szCs w:val="24"/>
        </w:rPr>
        <w:t>,</w:t>
      </w:r>
      <w:r w:rsidR="009C0202">
        <w:rPr>
          <w:rFonts w:cs="Arial"/>
          <w:szCs w:val="24"/>
        </w:rPr>
        <w:t xml:space="preserve"> to June 30, 2018 (CDE 2019a). </w:t>
      </w:r>
      <w:r w:rsidR="00B52024">
        <w:rPr>
          <w:rFonts w:cs="Arial"/>
          <w:szCs w:val="24"/>
        </w:rPr>
        <w:t xml:space="preserve"> </w:t>
      </w:r>
      <w:r>
        <w:rPr>
          <w:rFonts w:cs="Arial"/>
          <w:szCs w:val="24"/>
        </w:rPr>
        <w:t>California Budget Act of 2017,</w:t>
      </w:r>
      <w:r w:rsidRPr="00F35E9F">
        <w:rPr>
          <w:rFonts w:cs="Arial"/>
          <w:szCs w:val="24"/>
        </w:rPr>
        <w:t xml:space="preserve"> Assembly Bill (AB) 9</w:t>
      </w:r>
      <w:r>
        <w:rPr>
          <w:rFonts w:cs="Arial"/>
          <w:szCs w:val="24"/>
        </w:rPr>
        <w:t xml:space="preserve">9, Section 87, Chapter 15 </w:t>
      </w:r>
      <w:r w:rsidRPr="00F35E9F">
        <w:rPr>
          <w:rFonts w:cs="Arial"/>
          <w:szCs w:val="24"/>
        </w:rPr>
        <w:t xml:space="preserve">appropriated $2.5 million from the General Fund (California </w:t>
      </w:r>
      <w:r w:rsidRPr="00F35E9F">
        <w:rPr>
          <w:rFonts w:cs="Arial"/>
          <w:i/>
          <w:szCs w:val="24"/>
        </w:rPr>
        <w:t>Education Code</w:t>
      </w:r>
      <w:r w:rsidRPr="00F35E9F">
        <w:rPr>
          <w:rFonts w:cs="Arial"/>
          <w:szCs w:val="24"/>
        </w:rPr>
        <w:t xml:space="preserve"> Section 41202[c]</w:t>
      </w:r>
      <w:r>
        <w:rPr>
          <w:rFonts w:cs="Arial"/>
          <w:szCs w:val="24"/>
        </w:rPr>
        <w:t>) to establish the CEPIP</w:t>
      </w:r>
      <w:r w:rsidR="00C2685B">
        <w:rPr>
          <w:rFonts w:cs="Arial"/>
          <w:szCs w:val="24"/>
        </w:rPr>
        <w:t xml:space="preserve"> by the CDE</w:t>
      </w:r>
      <w:r w:rsidRPr="00F35E9F">
        <w:rPr>
          <w:rFonts w:cs="Arial"/>
          <w:szCs w:val="24"/>
        </w:rPr>
        <w:t>. This one-time appropriation is intended to fund at least two lead agencies to support and build capacity within local educational agencies</w:t>
      </w:r>
      <w:r>
        <w:rPr>
          <w:rFonts w:cs="Arial"/>
          <w:szCs w:val="24"/>
        </w:rPr>
        <w:t xml:space="preserve"> (LEAs)</w:t>
      </w:r>
      <w:r w:rsidRPr="00F35E9F">
        <w:rPr>
          <w:rFonts w:cs="Arial"/>
          <w:szCs w:val="24"/>
        </w:rPr>
        <w:t xml:space="preserve"> and the CDE to promote equity in California’s public schools through June 30, 2020.</w:t>
      </w:r>
    </w:p>
    <w:p w14:paraId="6B4E349D" w14:textId="77777777" w:rsidR="000664BA" w:rsidRPr="00F35E9F" w:rsidRDefault="000664BA" w:rsidP="00511C18">
      <w:pPr>
        <w:spacing w:before="240" w:after="240"/>
        <w:rPr>
          <w:rFonts w:cs="Arial"/>
          <w:szCs w:val="24"/>
        </w:rPr>
      </w:pPr>
      <w:r w:rsidRPr="00F35E9F">
        <w:rPr>
          <w:rFonts w:cs="Arial"/>
          <w:szCs w:val="24"/>
        </w:rPr>
        <w:t>AB 99</w:t>
      </w:r>
      <w:r>
        <w:rPr>
          <w:rFonts w:cs="Arial"/>
          <w:szCs w:val="24"/>
        </w:rPr>
        <w:t>,</w:t>
      </w:r>
      <w:r w:rsidRPr="00F35E9F">
        <w:rPr>
          <w:rFonts w:cs="Arial"/>
          <w:szCs w:val="24"/>
        </w:rPr>
        <w:t xml:space="preserve"> Section 87(g) states that the CDE shall </w:t>
      </w:r>
      <w:r w:rsidR="00C2685B">
        <w:rPr>
          <w:rFonts w:cs="Arial"/>
          <w:szCs w:val="24"/>
        </w:rPr>
        <w:t xml:space="preserve">prepare a report </w:t>
      </w:r>
      <w:r w:rsidRPr="00F35E9F">
        <w:rPr>
          <w:rFonts w:cs="Arial"/>
          <w:szCs w:val="24"/>
        </w:rPr>
        <w:t xml:space="preserve">of each fiscal year of </w:t>
      </w:r>
      <w:r>
        <w:rPr>
          <w:rFonts w:cs="Arial"/>
          <w:szCs w:val="24"/>
        </w:rPr>
        <w:t xml:space="preserve">the </w:t>
      </w:r>
      <w:r w:rsidRPr="00F35E9F">
        <w:rPr>
          <w:rFonts w:cs="Arial"/>
          <w:szCs w:val="24"/>
        </w:rPr>
        <w:t>funding period. The report should compile information reported by lead agencies on the following specifics (AB 99</w:t>
      </w:r>
      <w:r>
        <w:rPr>
          <w:rFonts w:cs="Arial"/>
          <w:szCs w:val="24"/>
        </w:rPr>
        <w:t>,</w:t>
      </w:r>
      <w:r w:rsidRPr="00F35E9F">
        <w:rPr>
          <w:rFonts w:cs="Arial"/>
          <w:szCs w:val="24"/>
        </w:rPr>
        <w:t xml:space="preserve"> Section 87[f]):</w:t>
      </w:r>
    </w:p>
    <w:p w14:paraId="3245513D" w14:textId="77777777" w:rsidR="000664BA" w:rsidRPr="00F35E9F" w:rsidRDefault="000664BA" w:rsidP="00511C18">
      <w:pPr>
        <w:numPr>
          <w:ilvl w:val="0"/>
          <w:numId w:val="12"/>
        </w:numPr>
        <w:spacing w:before="240" w:after="240"/>
        <w:ind w:left="720"/>
        <w:rPr>
          <w:rFonts w:cs="Arial"/>
          <w:szCs w:val="24"/>
        </w:rPr>
      </w:pPr>
      <w:r w:rsidRPr="00F35E9F">
        <w:rPr>
          <w:rFonts w:cs="Arial"/>
          <w:szCs w:val="24"/>
        </w:rPr>
        <w:t>A summary of the activities conducted and resources developed.</w:t>
      </w:r>
    </w:p>
    <w:p w14:paraId="284A61B6" w14:textId="77777777" w:rsidR="000664BA" w:rsidRPr="00F35E9F" w:rsidRDefault="000664BA" w:rsidP="00511C18">
      <w:pPr>
        <w:numPr>
          <w:ilvl w:val="0"/>
          <w:numId w:val="12"/>
        </w:numPr>
        <w:spacing w:before="240" w:after="240"/>
        <w:ind w:left="720"/>
        <w:rPr>
          <w:rFonts w:cs="Arial"/>
          <w:szCs w:val="24"/>
        </w:rPr>
      </w:pPr>
      <w:r w:rsidRPr="00F35E9F">
        <w:rPr>
          <w:rFonts w:cs="Arial"/>
          <w:szCs w:val="24"/>
        </w:rPr>
        <w:t>The number of school districts, county offices of education, charter schools, educators, and pupils served by the activities and resources.</w:t>
      </w:r>
    </w:p>
    <w:p w14:paraId="489340B5" w14:textId="77777777" w:rsidR="000664BA" w:rsidRPr="00155E17" w:rsidRDefault="000664BA" w:rsidP="00511C18">
      <w:pPr>
        <w:numPr>
          <w:ilvl w:val="0"/>
          <w:numId w:val="12"/>
        </w:numPr>
        <w:spacing w:before="240" w:after="240"/>
        <w:ind w:left="720"/>
        <w:rPr>
          <w:rFonts w:cs="Arial"/>
          <w:szCs w:val="24"/>
        </w:rPr>
      </w:pPr>
      <w:r w:rsidRPr="00155E17">
        <w:rPr>
          <w:rFonts w:cs="Arial"/>
          <w:szCs w:val="24"/>
        </w:rPr>
        <w:t>A summary of any data that is available on outcomes resulting from the</w:t>
      </w:r>
      <w:r w:rsidR="00155E17">
        <w:rPr>
          <w:rFonts w:cs="Arial"/>
          <w:szCs w:val="24"/>
        </w:rPr>
        <w:t xml:space="preserve"> </w:t>
      </w:r>
      <w:r w:rsidRPr="00155E17">
        <w:rPr>
          <w:rFonts w:cs="Arial"/>
          <w:szCs w:val="24"/>
        </w:rPr>
        <w:t>activities conducted.</w:t>
      </w:r>
    </w:p>
    <w:p w14:paraId="5426456E" w14:textId="77777777" w:rsidR="000664BA" w:rsidRPr="00C87F94" w:rsidRDefault="000664BA" w:rsidP="00511C18">
      <w:pPr>
        <w:numPr>
          <w:ilvl w:val="0"/>
          <w:numId w:val="12"/>
        </w:numPr>
        <w:spacing w:before="240" w:after="240"/>
        <w:ind w:left="720"/>
        <w:rPr>
          <w:rFonts w:cs="Arial"/>
          <w:szCs w:val="24"/>
        </w:rPr>
      </w:pPr>
      <w:r w:rsidRPr="00C87F94">
        <w:rPr>
          <w:rFonts w:cs="Arial"/>
          <w:szCs w:val="24"/>
        </w:rPr>
        <w:t>A summary of how state-level activities to</w:t>
      </w:r>
      <w:r>
        <w:rPr>
          <w:rFonts w:cs="Arial"/>
          <w:szCs w:val="24"/>
        </w:rPr>
        <w:t xml:space="preserve"> promote equity in California’s </w:t>
      </w:r>
      <w:r w:rsidRPr="00C87F94">
        <w:rPr>
          <w:rFonts w:cs="Arial"/>
          <w:szCs w:val="24"/>
        </w:rPr>
        <w:t>public schools have improved and recommendations for improving state-level activities or policies to promote equity in California’s public schools.</w:t>
      </w:r>
    </w:p>
    <w:p w14:paraId="5B427975" w14:textId="77777777" w:rsidR="000664BA" w:rsidRPr="00F35E9F" w:rsidRDefault="000664BA" w:rsidP="00511C18">
      <w:pPr>
        <w:spacing w:before="240" w:after="240"/>
        <w:rPr>
          <w:rFonts w:cs="Arial"/>
          <w:szCs w:val="24"/>
        </w:rPr>
      </w:pPr>
      <w:r w:rsidRPr="00F35E9F">
        <w:rPr>
          <w:rFonts w:cs="Arial"/>
          <w:szCs w:val="24"/>
        </w:rPr>
        <w:t>In compliance with the legislative reporting requirement cited above, this report provides the compilation of information required by AB 99, Section</w:t>
      </w:r>
      <w:r>
        <w:rPr>
          <w:rFonts w:cs="Arial"/>
          <w:szCs w:val="24"/>
        </w:rPr>
        <w:t xml:space="preserve"> 87(g)</w:t>
      </w:r>
      <w:r w:rsidRPr="00F35E9F">
        <w:rPr>
          <w:rFonts w:cs="Arial"/>
          <w:szCs w:val="24"/>
        </w:rPr>
        <w:t>.</w:t>
      </w:r>
    </w:p>
    <w:p w14:paraId="203A57F2" w14:textId="77777777" w:rsidR="00B26E67" w:rsidRDefault="003D1E29" w:rsidP="00511C18">
      <w:pPr>
        <w:spacing w:before="240" w:after="240"/>
        <w:rPr>
          <w:rFonts w:cs="Arial"/>
          <w:iCs/>
          <w:szCs w:val="24"/>
        </w:rPr>
      </w:pPr>
      <w:r>
        <w:rPr>
          <w:rFonts w:cs="Arial"/>
          <w:iCs/>
          <w:szCs w:val="24"/>
        </w:rPr>
        <w:t>The</w:t>
      </w:r>
      <w:r w:rsidR="000664BA" w:rsidRPr="00F35E9F">
        <w:rPr>
          <w:rFonts w:cs="Arial"/>
          <w:iCs/>
          <w:szCs w:val="24"/>
        </w:rPr>
        <w:t xml:space="preserve"> CEPIP is funded for the 2018–19 and 2019–20 school year</w:t>
      </w:r>
      <w:r>
        <w:rPr>
          <w:rFonts w:cs="Arial"/>
          <w:iCs/>
          <w:szCs w:val="24"/>
        </w:rPr>
        <w:t xml:space="preserve">s. This </w:t>
      </w:r>
      <w:r w:rsidR="000664BA">
        <w:rPr>
          <w:rFonts w:cs="Arial"/>
          <w:iCs/>
          <w:szCs w:val="24"/>
        </w:rPr>
        <w:t xml:space="preserve">report includes </w:t>
      </w:r>
      <w:r w:rsidR="000664BA" w:rsidRPr="00F35E9F">
        <w:rPr>
          <w:rFonts w:cs="Arial"/>
          <w:iCs/>
          <w:szCs w:val="24"/>
        </w:rPr>
        <w:t xml:space="preserve">the </w:t>
      </w:r>
      <w:r w:rsidR="000664BA">
        <w:rPr>
          <w:rFonts w:cs="Arial"/>
          <w:iCs/>
          <w:szCs w:val="24"/>
        </w:rPr>
        <w:t>first year of CEPIP activities from July 1, 2018</w:t>
      </w:r>
      <w:r w:rsidR="00C07F68">
        <w:rPr>
          <w:rFonts w:cs="Arial"/>
          <w:iCs/>
          <w:szCs w:val="24"/>
        </w:rPr>
        <w:t>,</w:t>
      </w:r>
      <w:r w:rsidR="00E90E51">
        <w:rPr>
          <w:rFonts w:cs="Arial"/>
          <w:iCs/>
          <w:szCs w:val="24"/>
        </w:rPr>
        <w:t xml:space="preserve"> to</w:t>
      </w:r>
      <w:r w:rsidR="000664BA">
        <w:rPr>
          <w:rFonts w:cs="Arial"/>
          <w:iCs/>
          <w:szCs w:val="24"/>
        </w:rPr>
        <w:t xml:space="preserve"> June 30, 2019</w:t>
      </w:r>
      <w:r w:rsidR="000664BA" w:rsidRPr="00F35E9F">
        <w:rPr>
          <w:rFonts w:cs="Arial"/>
          <w:iCs/>
          <w:szCs w:val="24"/>
        </w:rPr>
        <w:t>.</w:t>
      </w:r>
      <w:r w:rsidR="00C2685B">
        <w:rPr>
          <w:rFonts w:cs="Arial"/>
          <w:iCs/>
          <w:szCs w:val="24"/>
        </w:rPr>
        <w:t xml:space="preserve"> </w:t>
      </w:r>
      <w:r w:rsidR="00715D66">
        <w:rPr>
          <w:rFonts w:cs="Arial"/>
          <w:iCs/>
          <w:szCs w:val="24"/>
        </w:rPr>
        <w:t>Below are key findings of this report:</w:t>
      </w:r>
    </w:p>
    <w:p w14:paraId="794C9B9A" w14:textId="77777777" w:rsidR="00715D66" w:rsidRDefault="00715D66" w:rsidP="00511C18">
      <w:pPr>
        <w:pStyle w:val="ListParagraph"/>
        <w:numPr>
          <w:ilvl w:val="0"/>
          <w:numId w:val="46"/>
        </w:numPr>
        <w:spacing w:before="240" w:after="240"/>
        <w:rPr>
          <w:rFonts w:cs="Arial"/>
          <w:iCs/>
          <w:szCs w:val="24"/>
        </w:rPr>
      </w:pPr>
      <w:r>
        <w:rPr>
          <w:rFonts w:cs="Arial"/>
          <w:iCs/>
          <w:szCs w:val="24"/>
        </w:rPr>
        <w:t>Site-bas</w:t>
      </w:r>
      <w:r w:rsidR="003D1E29">
        <w:rPr>
          <w:rFonts w:cs="Arial"/>
          <w:iCs/>
          <w:szCs w:val="24"/>
        </w:rPr>
        <w:t>ed and online learning communities</w:t>
      </w:r>
    </w:p>
    <w:p w14:paraId="0AFA6819" w14:textId="721868F3" w:rsidR="00715D66" w:rsidRDefault="00715D66" w:rsidP="00511C18">
      <w:pPr>
        <w:pStyle w:val="ListParagraph"/>
        <w:spacing w:before="240" w:after="240"/>
        <w:rPr>
          <w:rFonts w:cs="Arial"/>
          <w:iCs/>
          <w:szCs w:val="24"/>
        </w:rPr>
      </w:pPr>
      <w:r w:rsidRPr="00715D66">
        <w:rPr>
          <w:rFonts w:cs="Arial"/>
          <w:iCs/>
          <w:szCs w:val="24"/>
        </w:rPr>
        <w:t>The CEPIP lead agencies, San Diego County Office of Education (COE) and Santa Clara COE engaged their partnering schools and districts in equity learning and capacity building</w:t>
      </w:r>
      <w:r w:rsidR="003D1E29">
        <w:rPr>
          <w:rFonts w:cs="Arial"/>
          <w:iCs/>
          <w:szCs w:val="24"/>
        </w:rPr>
        <w:t xml:space="preserve"> both</w:t>
      </w:r>
      <w:r w:rsidRPr="00715D66">
        <w:rPr>
          <w:rFonts w:cs="Arial"/>
          <w:iCs/>
          <w:szCs w:val="24"/>
        </w:rPr>
        <w:t xml:space="preserve"> </w:t>
      </w:r>
      <w:r w:rsidR="003D1E29">
        <w:rPr>
          <w:rFonts w:cs="Arial"/>
          <w:iCs/>
          <w:szCs w:val="24"/>
        </w:rPr>
        <w:t>on-site</w:t>
      </w:r>
      <w:r w:rsidRPr="00715D66">
        <w:rPr>
          <w:rFonts w:cs="Arial"/>
          <w:iCs/>
          <w:szCs w:val="24"/>
        </w:rPr>
        <w:t xml:space="preserve"> </w:t>
      </w:r>
      <w:r w:rsidR="003D1E29">
        <w:rPr>
          <w:rFonts w:cs="Arial"/>
          <w:iCs/>
          <w:szCs w:val="24"/>
        </w:rPr>
        <w:t>and through online learning communities</w:t>
      </w:r>
      <w:r w:rsidRPr="00715D66">
        <w:rPr>
          <w:rFonts w:cs="Arial"/>
          <w:iCs/>
          <w:szCs w:val="24"/>
        </w:rPr>
        <w:t xml:space="preserve">. Modeling the continuous improvement framework, the San Diego </w:t>
      </w:r>
      <w:r w:rsidR="003D1E29">
        <w:rPr>
          <w:rFonts w:cs="Arial"/>
          <w:iCs/>
          <w:szCs w:val="24"/>
        </w:rPr>
        <w:t xml:space="preserve">COE Equity </w:t>
      </w:r>
      <w:r w:rsidRPr="00715D66">
        <w:rPr>
          <w:rFonts w:cs="Arial"/>
          <w:iCs/>
          <w:szCs w:val="24"/>
        </w:rPr>
        <w:t>Lead conducted equity audit</w:t>
      </w:r>
      <w:r w:rsidR="00C9101C">
        <w:rPr>
          <w:rFonts w:cs="Arial"/>
          <w:iCs/>
          <w:szCs w:val="24"/>
        </w:rPr>
        <w:t>s to identify equity</w:t>
      </w:r>
      <w:r w:rsidR="003D1E29">
        <w:rPr>
          <w:rFonts w:cs="Arial"/>
          <w:iCs/>
          <w:szCs w:val="24"/>
        </w:rPr>
        <w:t xml:space="preserve"> gaps</w:t>
      </w:r>
      <w:r w:rsidR="00C9101C">
        <w:rPr>
          <w:rFonts w:cs="Arial"/>
          <w:iCs/>
          <w:szCs w:val="24"/>
        </w:rPr>
        <w:t>. Once the audits were complete</w:t>
      </w:r>
      <w:r w:rsidR="00F15BAD">
        <w:rPr>
          <w:rFonts w:cs="Arial"/>
          <w:iCs/>
          <w:szCs w:val="24"/>
        </w:rPr>
        <w:t>d</w:t>
      </w:r>
      <w:r w:rsidR="00C9101C">
        <w:rPr>
          <w:rFonts w:cs="Arial"/>
          <w:iCs/>
          <w:szCs w:val="24"/>
        </w:rPr>
        <w:t>, they met with their partnering schools to discuss the recommendations and how to implement</w:t>
      </w:r>
      <w:r w:rsidR="003D1E29">
        <w:rPr>
          <w:rFonts w:cs="Arial"/>
          <w:iCs/>
          <w:szCs w:val="24"/>
        </w:rPr>
        <w:t xml:space="preserve"> </w:t>
      </w:r>
      <w:r w:rsidR="00C9101C">
        <w:rPr>
          <w:rFonts w:cs="Arial"/>
          <w:iCs/>
          <w:szCs w:val="24"/>
        </w:rPr>
        <w:t>improvement activities at the school site level</w:t>
      </w:r>
      <w:r w:rsidRPr="00715D66">
        <w:rPr>
          <w:rFonts w:cs="Arial"/>
          <w:iCs/>
          <w:szCs w:val="24"/>
        </w:rPr>
        <w:t xml:space="preserve">. </w:t>
      </w:r>
      <w:r w:rsidR="000F30C9">
        <w:rPr>
          <w:rFonts w:cs="Arial"/>
          <w:iCs/>
          <w:szCs w:val="24"/>
        </w:rPr>
        <w:t>Modeled after</w:t>
      </w:r>
      <w:r>
        <w:rPr>
          <w:rFonts w:cs="Arial"/>
          <w:iCs/>
          <w:szCs w:val="24"/>
        </w:rPr>
        <w:t xml:space="preserve"> the Multi-tiered System of Supports</w:t>
      </w:r>
      <w:r w:rsidR="00C9101C">
        <w:rPr>
          <w:rFonts w:cs="Arial"/>
          <w:iCs/>
          <w:szCs w:val="24"/>
        </w:rPr>
        <w:t xml:space="preserve"> (MTSS)</w:t>
      </w:r>
      <w:r>
        <w:rPr>
          <w:rFonts w:cs="Arial"/>
          <w:iCs/>
          <w:szCs w:val="24"/>
        </w:rPr>
        <w:t>, t</w:t>
      </w:r>
      <w:r w:rsidRPr="00715D66">
        <w:rPr>
          <w:rFonts w:cs="Arial"/>
          <w:iCs/>
          <w:szCs w:val="24"/>
        </w:rPr>
        <w:t xml:space="preserve">he Santa Clara </w:t>
      </w:r>
      <w:r w:rsidR="00C9101C">
        <w:rPr>
          <w:rFonts w:cs="Arial"/>
          <w:iCs/>
          <w:szCs w:val="24"/>
        </w:rPr>
        <w:t xml:space="preserve">COE Equity Lead </w:t>
      </w:r>
      <w:r w:rsidRPr="00715D66">
        <w:rPr>
          <w:rFonts w:cs="Arial"/>
          <w:iCs/>
          <w:szCs w:val="24"/>
        </w:rPr>
        <w:t xml:space="preserve">developed online learning modules and professional </w:t>
      </w:r>
      <w:r w:rsidRPr="00715D66">
        <w:rPr>
          <w:rFonts w:cs="Arial"/>
          <w:iCs/>
          <w:szCs w:val="24"/>
        </w:rPr>
        <w:lastRenderedPageBreak/>
        <w:t>developmen</w:t>
      </w:r>
      <w:r w:rsidR="00C9101C">
        <w:rPr>
          <w:rFonts w:cs="Arial"/>
          <w:iCs/>
          <w:szCs w:val="24"/>
        </w:rPr>
        <w:t xml:space="preserve">t communities through a </w:t>
      </w:r>
      <w:r w:rsidR="00A0035B">
        <w:rPr>
          <w:rFonts w:cs="Arial"/>
          <w:iCs/>
          <w:szCs w:val="24"/>
        </w:rPr>
        <w:t>three-</w:t>
      </w:r>
      <w:r w:rsidR="00C9101C">
        <w:rPr>
          <w:rFonts w:cs="Arial"/>
          <w:iCs/>
          <w:szCs w:val="24"/>
        </w:rPr>
        <w:t>tiered process in order to engage</w:t>
      </w:r>
      <w:r w:rsidR="00A0035B">
        <w:rPr>
          <w:rFonts w:cs="Arial"/>
          <w:iCs/>
          <w:szCs w:val="24"/>
        </w:rPr>
        <w:t xml:space="preserve"> more </w:t>
      </w:r>
      <w:r w:rsidRPr="00715D66">
        <w:rPr>
          <w:rFonts w:cs="Arial"/>
          <w:iCs/>
          <w:szCs w:val="24"/>
        </w:rPr>
        <w:t>schools and districts</w:t>
      </w:r>
      <w:r w:rsidR="00A0035B">
        <w:rPr>
          <w:rFonts w:cs="Arial"/>
          <w:iCs/>
          <w:szCs w:val="24"/>
        </w:rPr>
        <w:t xml:space="preserve"> throughout their county</w:t>
      </w:r>
      <w:r w:rsidR="00C9101C">
        <w:rPr>
          <w:rFonts w:cs="Arial"/>
          <w:iCs/>
          <w:szCs w:val="24"/>
        </w:rPr>
        <w:t xml:space="preserve">. </w:t>
      </w:r>
    </w:p>
    <w:p w14:paraId="43783204" w14:textId="77777777" w:rsidR="00AE3F60" w:rsidRDefault="005B4E96" w:rsidP="00511C18">
      <w:pPr>
        <w:pStyle w:val="ListParagraph"/>
        <w:numPr>
          <w:ilvl w:val="0"/>
          <w:numId w:val="46"/>
        </w:numPr>
        <w:spacing w:before="240" w:after="240"/>
        <w:rPr>
          <w:rFonts w:cs="Arial"/>
          <w:iCs/>
          <w:szCs w:val="24"/>
        </w:rPr>
      </w:pPr>
      <w:r>
        <w:rPr>
          <w:rFonts w:cs="Arial"/>
          <w:iCs/>
          <w:szCs w:val="24"/>
        </w:rPr>
        <w:t>T</w:t>
      </w:r>
      <w:r w:rsidR="00AE3F60">
        <w:rPr>
          <w:rFonts w:cs="Arial"/>
          <w:iCs/>
          <w:szCs w:val="24"/>
        </w:rPr>
        <w:t>arge</w:t>
      </w:r>
      <w:r w:rsidR="00A0035B">
        <w:rPr>
          <w:rFonts w:cs="Arial"/>
          <w:iCs/>
          <w:szCs w:val="24"/>
        </w:rPr>
        <w:t>ted student groups</w:t>
      </w:r>
      <w:r>
        <w:rPr>
          <w:rFonts w:cs="Arial"/>
          <w:iCs/>
          <w:szCs w:val="24"/>
        </w:rPr>
        <w:t xml:space="preserve"> served</w:t>
      </w:r>
    </w:p>
    <w:p w14:paraId="7523A05C" w14:textId="77777777" w:rsidR="00F91E0D" w:rsidRDefault="00F91E0D" w:rsidP="00511C18">
      <w:pPr>
        <w:pStyle w:val="ListParagraph"/>
        <w:spacing w:before="240" w:after="240"/>
        <w:rPr>
          <w:rFonts w:cs="Arial"/>
          <w:iCs/>
          <w:szCs w:val="24"/>
        </w:rPr>
      </w:pPr>
      <w:r>
        <w:rPr>
          <w:rFonts w:cs="Arial"/>
          <w:iCs/>
          <w:szCs w:val="24"/>
        </w:rPr>
        <w:t xml:space="preserve">A total of 6 counties, 13 school districts, 133 </w:t>
      </w:r>
      <w:r w:rsidR="005B4E96">
        <w:rPr>
          <w:rFonts w:cs="Arial"/>
          <w:iCs/>
          <w:szCs w:val="24"/>
        </w:rPr>
        <w:t xml:space="preserve">schools, 2,377 educators, and </w:t>
      </w:r>
      <w:r w:rsidR="00AE3F60">
        <w:rPr>
          <w:rFonts w:cs="Arial"/>
          <w:iCs/>
          <w:szCs w:val="24"/>
        </w:rPr>
        <w:t>74,093 students</w:t>
      </w:r>
      <w:r w:rsidR="005B4E96">
        <w:rPr>
          <w:rFonts w:cs="Arial"/>
          <w:iCs/>
          <w:szCs w:val="24"/>
        </w:rPr>
        <w:t xml:space="preserve"> served. The targeted students served between both equity leads were </w:t>
      </w:r>
      <w:r w:rsidR="00AE3F60">
        <w:rPr>
          <w:rFonts w:cs="Arial"/>
          <w:iCs/>
          <w:szCs w:val="24"/>
        </w:rPr>
        <w:t>1,497 African Americans, 24,054 English learners, and 7,937 students with disabilities.</w:t>
      </w:r>
      <w:r>
        <w:rPr>
          <w:rFonts w:cs="Arial"/>
          <w:iCs/>
          <w:szCs w:val="24"/>
        </w:rPr>
        <w:t xml:space="preserve"> </w:t>
      </w:r>
    </w:p>
    <w:p w14:paraId="72CBF29D" w14:textId="77777777" w:rsidR="00AE3F60" w:rsidRDefault="002B7B2C" w:rsidP="00511C18">
      <w:pPr>
        <w:pStyle w:val="ListParagraph"/>
        <w:numPr>
          <w:ilvl w:val="0"/>
          <w:numId w:val="46"/>
        </w:numPr>
        <w:spacing w:before="240" w:after="240"/>
        <w:rPr>
          <w:rFonts w:cs="Arial"/>
          <w:iCs/>
          <w:szCs w:val="24"/>
        </w:rPr>
      </w:pPr>
      <w:r>
        <w:rPr>
          <w:rFonts w:cs="Arial"/>
          <w:iCs/>
          <w:szCs w:val="24"/>
        </w:rPr>
        <w:t>I</w:t>
      </w:r>
      <w:r w:rsidR="00AE3F60">
        <w:rPr>
          <w:rFonts w:cs="Arial"/>
          <w:iCs/>
          <w:szCs w:val="24"/>
        </w:rPr>
        <w:t>mprovement in suspensions and English language arts (ELA) achievement</w:t>
      </w:r>
    </w:p>
    <w:p w14:paraId="1527615B" w14:textId="77777777" w:rsidR="00AE3F60" w:rsidRDefault="00AE3F60" w:rsidP="00511C18">
      <w:pPr>
        <w:pStyle w:val="ListParagraph"/>
        <w:spacing w:before="240" w:after="240"/>
        <w:rPr>
          <w:rFonts w:cs="Arial"/>
          <w:iCs/>
          <w:szCs w:val="24"/>
        </w:rPr>
      </w:pPr>
      <w:r w:rsidRPr="00AE3F60">
        <w:rPr>
          <w:rFonts w:cs="Arial"/>
          <w:iCs/>
          <w:szCs w:val="24"/>
        </w:rPr>
        <w:t>The results show</w:t>
      </w:r>
      <w:r w:rsidR="005B4E96">
        <w:rPr>
          <w:rFonts w:cs="Arial"/>
          <w:iCs/>
          <w:szCs w:val="24"/>
        </w:rPr>
        <w:t>ed</w:t>
      </w:r>
      <w:r w:rsidRPr="00AE3F60">
        <w:rPr>
          <w:rFonts w:cs="Arial"/>
          <w:iCs/>
          <w:szCs w:val="24"/>
        </w:rPr>
        <w:t xml:space="preserve"> reduced student suspensions and increased students’ performance on </w:t>
      </w:r>
      <w:r w:rsidR="005B4E96">
        <w:rPr>
          <w:rFonts w:cs="Arial"/>
          <w:iCs/>
          <w:szCs w:val="24"/>
        </w:rPr>
        <w:t>ELA assessments o</w:t>
      </w:r>
      <w:r w:rsidRPr="00AE3F60">
        <w:rPr>
          <w:rFonts w:cs="Arial"/>
          <w:iCs/>
          <w:szCs w:val="24"/>
        </w:rPr>
        <w:t>n the California Assessment of Student Performance and Progress</w:t>
      </w:r>
      <w:r w:rsidR="005B4E96">
        <w:rPr>
          <w:rFonts w:cs="Arial"/>
          <w:iCs/>
          <w:szCs w:val="24"/>
        </w:rPr>
        <w:t xml:space="preserve"> (CAASPP) were</w:t>
      </w:r>
      <w:r w:rsidRPr="00AE3F60">
        <w:rPr>
          <w:rFonts w:cs="Arial"/>
          <w:iCs/>
          <w:szCs w:val="24"/>
        </w:rPr>
        <w:t xml:space="preserve"> observed at some of the schools and districts </w:t>
      </w:r>
      <w:r w:rsidR="005B4E96">
        <w:rPr>
          <w:rFonts w:cs="Arial"/>
          <w:iCs/>
          <w:szCs w:val="24"/>
        </w:rPr>
        <w:t>that participated in the CEPIP</w:t>
      </w:r>
      <w:r w:rsidRPr="00AE3F60">
        <w:rPr>
          <w:rFonts w:cs="Arial"/>
          <w:iCs/>
          <w:szCs w:val="24"/>
        </w:rPr>
        <w:t>.</w:t>
      </w:r>
    </w:p>
    <w:p w14:paraId="22CE9E53" w14:textId="77777777" w:rsidR="002B7B2C" w:rsidRDefault="002B7B2C" w:rsidP="00511C18">
      <w:pPr>
        <w:pStyle w:val="ListParagraph"/>
        <w:numPr>
          <w:ilvl w:val="0"/>
          <w:numId w:val="46"/>
        </w:numPr>
        <w:spacing w:before="240" w:after="240"/>
        <w:rPr>
          <w:rFonts w:cs="Arial"/>
          <w:iCs/>
          <w:szCs w:val="24"/>
        </w:rPr>
      </w:pPr>
      <w:r>
        <w:rPr>
          <w:rFonts w:cs="Arial"/>
          <w:iCs/>
          <w:szCs w:val="24"/>
        </w:rPr>
        <w:t>Scale up CEPIP</w:t>
      </w:r>
      <w:r w:rsidR="005B4E96">
        <w:rPr>
          <w:rFonts w:cs="Arial"/>
          <w:iCs/>
          <w:szCs w:val="24"/>
        </w:rPr>
        <w:t xml:space="preserve"> activities</w:t>
      </w:r>
    </w:p>
    <w:p w14:paraId="6B9CADD1" w14:textId="77777777" w:rsidR="00601B4F" w:rsidRPr="00715D66" w:rsidRDefault="00601B4F" w:rsidP="00511C18">
      <w:pPr>
        <w:pStyle w:val="ListParagraph"/>
        <w:spacing w:before="240" w:after="240"/>
        <w:rPr>
          <w:rFonts w:cs="Arial"/>
          <w:iCs/>
          <w:szCs w:val="24"/>
        </w:rPr>
      </w:pPr>
      <w:r w:rsidRPr="00715D66">
        <w:rPr>
          <w:rFonts w:cs="Arial"/>
          <w:iCs/>
          <w:szCs w:val="24"/>
        </w:rPr>
        <w:t>Serving as part of the California</w:t>
      </w:r>
      <w:r w:rsidR="005B4E96">
        <w:rPr>
          <w:rFonts w:cs="Arial"/>
          <w:iCs/>
          <w:szCs w:val="24"/>
        </w:rPr>
        <w:t>’s</w:t>
      </w:r>
      <w:r w:rsidRPr="00715D66">
        <w:rPr>
          <w:rFonts w:cs="Arial"/>
          <w:iCs/>
          <w:szCs w:val="24"/>
        </w:rPr>
        <w:t xml:space="preserve"> System of Support, the</w:t>
      </w:r>
      <w:r w:rsidR="00B26E67" w:rsidRPr="00715D66">
        <w:rPr>
          <w:rFonts w:cs="Arial"/>
          <w:iCs/>
          <w:szCs w:val="24"/>
        </w:rPr>
        <w:t xml:space="preserve"> </w:t>
      </w:r>
      <w:r w:rsidRPr="00715D66">
        <w:rPr>
          <w:rFonts w:cs="Arial"/>
          <w:iCs/>
          <w:szCs w:val="24"/>
        </w:rPr>
        <w:t>two equity leads, in collaboration with the CDE and WestEd, made their s</w:t>
      </w:r>
      <w:r w:rsidR="005B4E96">
        <w:rPr>
          <w:rFonts w:cs="Arial"/>
          <w:iCs/>
          <w:szCs w:val="24"/>
        </w:rPr>
        <w:t>upport and resources</w:t>
      </w:r>
      <w:r w:rsidRPr="00715D66">
        <w:rPr>
          <w:rFonts w:cs="Arial"/>
          <w:iCs/>
          <w:szCs w:val="24"/>
        </w:rPr>
        <w:t xml:space="preserve"> available to all schools and districts </w:t>
      </w:r>
      <w:r w:rsidR="005B4E96">
        <w:rPr>
          <w:rFonts w:cs="Arial"/>
          <w:iCs/>
          <w:szCs w:val="24"/>
        </w:rPr>
        <w:t>throughout the state by</w:t>
      </w:r>
      <w:r w:rsidRPr="00715D66">
        <w:rPr>
          <w:rFonts w:cs="Arial"/>
          <w:iCs/>
          <w:szCs w:val="24"/>
        </w:rPr>
        <w:t xml:space="preserve"> hosting statewide equity conferences, making resources available online, and </w:t>
      </w:r>
      <w:r w:rsidR="00715D66" w:rsidRPr="00715D66">
        <w:rPr>
          <w:rFonts w:cs="Arial"/>
          <w:iCs/>
          <w:szCs w:val="24"/>
        </w:rPr>
        <w:t xml:space="preserve">providing </w:t>
      </w:r>
      <w:r w:rsidR="005B4E96">
        <w:rPr>
          <w:rFonts w:cs="Arial"/>
          <w:iCs/>
          <w:szCs w:val="24"/>
        </w:rPr>
        <w:t xml:space="preserve">technical assistance </w:t>
      </w:r>
      <w:r w:rsidR="00715D66" w:rsidRPr="00715D66">
        <w:rPr>
          <w:rFonts w:cs="Arial"/>
          <w:iCs/>
          <w:szCs w:val="24"/>
        </w:rPr>
        <w:t>upon request.</w:t>
      </w:r>
      <w:r w:rsidRPr="00715D66">
        <w:rPr>
          <w:rFonts w:cs="Arial"/>
          <w:iCs/>
          <w:szCs w:val="24"/>
        </w:rPr>
        <w:t xml:space="preserve"> </w:t>
      </w:r>
      <w:r w:rsidR="002B7B2C">
        <w:rPr>
          <w:rFonts w:cs="Arial"/>
          <w:iCs/>
          <w:szCs w:val="24"/>
        </w:rPr>
        <w:t>The CDE</w:t>
      </w:r>
      <w:r w:rsidR="005B4E96">
        <w:rPr>
          <w:rFonts w:cs="Arial"/>
          <w:iCs/>
          <w:szCs w:val="24"/>
        </w:rPr>
        <w:t>’s</w:t>
      </w:r>
      <w:r w:rsidR="002B7B2C">
        <w:rPr>
          <w:rFonts w:cs="Arial"/>
          <w:iCs/>
          <w:szCs w:val="24"/>
        </w:rPr>
        <w:t xml:space="preserve"> CEPIP team engaged in equity </w:t>
      </w:r>
      <w:r w:rsidR="005B4E96">
        <w:rPr>
          <w:rFonts w:cs="Arial"/>
          <w:iCs/>
          <w:szCs w:val="24"/>
        </w:rPr>
        <w:t xml:space="preserve">learning and provided workshops to help build capacity within the department and LEAs to promote equity in California’s public schools. </w:t>
      </w:r>
    </w:p>
    <w:p w14:paraId="74C518B1" w14:textId="77777777" w:rsidR="000664BA" w:rsidRPr="00F35E9F" w:rsidRDefault="000664BA" w:rsidP="00511C18">
      <w:pPr>
        <w:spacing w:before="240" w:after="240"/>
        <w:rPr>
          <w:rFonts w:cs="Arial"/>
          <w:iCs/>
          <w:szCs w:val="24"/>
        </w:rPr>
      </w:pPr>
      <w:r w:rsidRPr="00F35E9F">
        <w:rPr>
          <w:rFonts w:cs="Arial"/>
          <w:iCs/>
          <w:szCs w:val="24"/>
        </w:rPr>
        <w:t xml:space="preserve">Any questions regarding this report or requests for copies should be directed to </w:t>
      </w:r>
      <w:r w:rsidRPr="00F35E9F">
        <w:rPr>
          <w:rFonts w:cs="Arial"/>
          <w:iCs/>
          <w:szCs w:val="24"/>
        </w:rPr>
        <w:br/>
        <w:t xml:space="preserve">Jane Liang, Education Programs Consultant, </w:t>
      </w:r>
      <w:r>
        <w:rPr>
          <w:rFonts w:cs="Arial"/>
          <w:iCs/>
          <w:szCs w:val="24"/>
        </w:rPr>
        <w:t>Integrated Student Support and Programs</w:t>
      </w:r>
      <w:r w:rsidRPr="00F35E9F">
        <w:rPr>
          <w:rFonts w:cs="Arial"/>
          <w:iCs/>
          <w:szCs w:val="24"/>
        </w:rPr>
        <w:t xml:space="preserve"> Office, </w:t>
      </w:r>
      <w:r w:rsidR="00E90E51" w:rsidRPr="00F35E9F">
        <w:rPr>
          <w:rFonts w:cs="Arial"/>
          <w:iCs/>
          <w:szCs w:val="24"/>
        </w:rPr>
        <w:t>Improvement and</w:t>
      </w:r>
      <w:r w:rsidR="00E90E51">
        <w:rPr>
          <w:rFonts w:cs="Arial"/>
          <w:iCs/>
          <w:szCs w:val="24"/>
        </w:rPr>
        <w:t xml:space="preserve"> </w:t>
      </w:r>
      <w:r w:rsidRPr="00F35E9F">
        <w:rPr>
          <w:rFonts w:cs="Arial"/>
          <w:iCs/>
          <w:szCs w:val="24"/>
        </w:rPr>
        <w:t xml:space="preserve">Accountability Division, at 916-319-0259 or </w:t>
      </w:r>
      <w:hyperlink r:id="rId15" w:history="1">
        <w:r w:rsidRPr="00F35E9F">
          <w:rPr>
            <w:rStyle w:val="Hyperlink"/>
            <w:rFonts w:eastAsiaTheme="majorEastAsia" w:cs="Arial"/>
            <w:iCs/>
            <w:szCs w:val="24"/>
          </w:rPr>
          <w:t>jliang@cde.ca.gov</w:t>
        </w:r>
      </w:hyperlink>
      <w:r w:rsidRPr="00F35E9F">
        <w:rPr>
          <w:rFonts w:cs="Arial"/>
          <w:iCs/>
          <w:szCs w:val="24"/>
        </w:rPr>
        <w:t>.</w:t>
      </w:r>
    </w:p>
    <w:p w14:paraId="2C66FFDF" w14:textId="77777777" w:rsidR="00F376D4" w:rsidRDefault="00C2685B" w:rsidP="00511C18">
      <w:pPr>
        <w:spacing w:before="240" w:after="240"/>
        <w:rPr>
          <w:rFonts w:cs="Arial"/>
          <w:iCs/>
          <w:szCs w:val="24"/>
        </w:rPr>
      </w:pPr>
      <w:r>
        <w:rPr>
          <w:rFonts w:cs="Arial"/>
          <w:iCs/>
          <w:szCs w:val="24"/>
        </w:rPr>
        <w:t>For more information, please v</w:t>
      </w:r>
      <w:r w:rsidR="009C53A5">
        <w:rPr>
          <w:rFonts w:cs="Arial"/>
          <w:iCs/>
          <w:szCs w:val="24"/>
        </w:rPr>
        <w:t xml:space="preserve">isit the CDE CEPIP web page at </w:t>
      </w:r>
      <w:hyperlink r:id="rId16" w:tooltip="Open to the CDE CEPIP web page" w:history="1">
        <w:r w:rsidRPr="00AD3F88">
          <w:rPr>
            <w:rStyle w:val="Hyperlink"/>
            <w:rFonts w:cs="Arial"/>
            <w:iCs/>
            <w:szCs w:val="24"/>
          </w:rPr>
          <w:t>https://www.cde.ca.gov/sp/sw/t1/equity.asp</w:t>
        </w:r>
      </w:hyperlink>
      <w:r>
        <w:rPr>
          <w:rFonts w:cs="Arial"/>
          <w:iCs/>
          <w:szCs w:val="24"/>
        </w:rPr>
        <w:t>.</w:t>
      </w:r>
    </w:p>
    <w:p w14:paraId="7072E5A0" w14:textId="2F517426" w:rsidR="000664BA" w:rsidRPr="00461646" w:rsidRDefault="000664BA" w:rsidP="00511C18">
      <w:pPr>
        <w:pStyle w:val="Heading2"/>
        <w:spacing w:before="0"/>
      </w:pPr>
      <w:bookmarkStart w:id="11" w:name="_Toc46228492"/>
      <w:r w:rsidRPr="00461646">
        <w:t xml:space="preserve">I. </w:t>
      </w:r>
      <w:r w:rsidR="00155E17" w:rsidRPr="00461646">
        <w:t>Introduction</w:t>
      </w:r>
      <w:bookmarkEnd w:id="11"/>
    </w:p>
    <w:p w14:paraId="02E01321" w14:textId="171B32EA" w:rsidR="00EC152D" w:rsidRDefault="00EC152D" w:rsidP="00511C18">
      <w:pPr>
        <w:widowControl/>
        <w:spacing w:before="240" w:after="240"/>
        <w:rPr>
          <w:rFonts w:cs="Arial"/>
          <w:szCs w:val="24"/>
        </w:rPr>
      </w:pPr>
      <w:r w:rsidRPr="00EC152D">
        <w:rPr>
          <w:rFonts w:cs="Arial"/>
          <w:szCs w:val="24"/>
        </w:rPr>
        <w:t xml:space="preserve">California is more than ever committed </w:t>
      </w:r>
      <w:r w:rsidR="00434961">
        <w:rPr>
          <w:rFonts w:cs="Arial"/>
          <w:szCs w:val="24"/>
        </w:rPr>
        <w:t>to closing the achievement gap (CDE</w:t>
      </w:r>
      <w:r w:rsidR="009C0202">
        <w:rPr>
          <w:rFonts w:cs="Arial"/>
          <w:szCs w:val="24"/>
        </w:rPr>
        <w:t xml:space="preserve"> 2019b</w:t>
      </w:r>
      <w:r w:rsidRPr="00EC152D">
        <w:rPr>
          <w:rFonts w:cs="Arial"/>
          <w:szCs w:val="24"/>
        </w:rPr>
        <w:t>). The achievement gap in education is commonly known as the disparity in academic performance b</w:t>
      </w:r>
      <w:r w:rsidR="00F17057">
        <w:rPr>
          <w:rFonts w:cs="Arial"/>
          <w:szCs w:val="24"/>
        </w:rPr>
        <w:t>etween groups of students. The a</w:t>
      </w:r>
      <w:r w:rsidRPr="00EC152D">
        <w:rPr>
          <w:rFonts w:cs="Arial"/>
          <w:szCs w:val="24"/>
        </w:rPr>
        <w:t>chievement gap is a pervasive and systemic issue throughout the United States (</w:t>
      </w:r>
      <w:r w:rsidR="00D23DAF">
        <w:rPr>
          <w:rFonts w:cs="Arial"/>
          <w:szCs w:val="24"/>
        </w:rPr>
        <w:t xml:space="preserve">National </w:t>
      </w:r>
      <w:r w:rsidR="006A64E8">
        <w:rPr>
          <w:rFonts w:cs="Arial"/>
          <w:szCs w:val="24"/>
        </w:rPr>
        <w:t>Center for Education Statistics</w:t>
      </w:r>
      <w:r w:rsidR="00D23DAF">
        <w:rPr>
          <w:rFonts w:cs="Arial"/>
          <w:szCs w:val="24"/>
        </w:rPr>
        <w:t xml:space="preserve"> 2019</w:t>
      </w:r>
      <w:r w:rsidR="00B83A4B">
        <w:rPr>
          <w:rFonts w:cs="Arial"/>
          <w:szCs w:val="24"/>
        </w:rPr>
        <w:t xml:space="preserve">). In California, as well as </w:t>
      </w:r>
      <w:r w:rsidRPr="00EC152D">
        <w:rPr>
          <w:rFonts w:cs="Arial"/>
          <w:szCs w:val="24"/>
        </w:rPr>
        <w:t>across the nation, the achievement gap is reflected in students’ grades, standardized test scores, course selection, dropout rates, graduation rates, and other meas</w:t>
      </w:r>
      <w:r w:rsidR="009C0202">
        <w:rPr>
          <w:rFonts w:cs="Arial"/>
          <w:szCs w:val="24"/>
        </w:rPr>
        <w:t>ures (CDE 2019c</w:t>
      </w:r>
      <w:r w:rsidR="007C7166">
        <w:rPr>
          <w:rFonts w:cs="Arial"/>
          <w:szCs w:val="24"/>
        </w:rPr>
        <w:t>). The CDE</w:t>
      </w:r>
      <w:r w:rsidRPr="00EC152D">
        <w:rPr>
          <w:rFonts w:cs="Arial"/>
          <w:szCs w:val="24"/>
        </w:rPr>
        <w:t xml:space="preserve"> has reported the performance disparities among student groups in its statewide assessments since 1998 when it implemented its first statewide assessment, the Standardized Testing and Reporting (S</w:t>
      </w:r>
      <w:r w:rsidR="007C7166">
        <w:rPr>
          <w:rFonts w:cs="Arial"/>
          <w:szCs w:val="24"/>
        </w:rPr>
        <w:t xml:space="preserve">TAR) program. The STAR program was </w:t>
      </w:r>
      <w:r w:rsidRPr="00EC152D">
        <w:rPr>
          <w:rFonts w:cs="Arial"/>
          <w:szCs w:val="24"/>
        </w:rPr>
        <w:t xml:space="preserve">replaced </w:t>
      </w:r>
      <w:r w:rsidR="007C7166">
        <w:rPr>
          <w:rFonts w:cs="Arial"/>
          <w:szCs w:val="24"/>
        </w:rPr>
        <w:t xml:space="preserve">by </w:t>
      </w:r>
      <w:r w:rsidRPr="00EC152D">
        <w:rPr>
          <w:rFonts w:cs="Arial"/>
          <w:szCs w:val="24"/>
        </w:rPr>
        <w:t xml:space="preserve">the </w:t>
      </w:r>
      <w:r w:rsidR="005B4E96">
        <w:rPr>
          <w:rFonts w:cs="Arial"/>
          <w:szCs w:val="24"/>
        </w:rPr>
        <w:t>CAASPP</w:t>
      </w:r>
      <w:r w:rsidRPr="00EC152D">
        <w:rPr>
          <w:rFonts w:cs="Arial"/>
          <w:szCs w:val="24"/>
        </w:rPr>
        <w:t xml:space="preserve"> in 2013. As shown in the STAR and CAASP</w:t>
      </w:r>
      <w:r w:rsidR="006A64E8">
        <w:rPr>
          <w:rFonts w:cs="Arial"/>
          <w:szCs w:val="24"/>
        </w:rPr>
        <w:t>P assessment results (CDE 2013 and</w:t>
      </w:r>
      <w:r w:rsidRPr="00EC152D">
        <w:rPr>
          <w:rFonts w:cs="Arial"/>
          <w:szCs w:val="24"/>
        </w:rPr>
        <w:t xml:space="preserve"> 2019</w:t>
      </w:r>
      <w:r w:rsidR="00C2685B">
        <w:rPr>
          <w:rFonts w:cs="Arial"/>
          <w:szCs w:val="24"/>
        </w:rPr>
        <w:t>d</w:t>
      </w:r>
      <w:r w:rsidRPr="00EC152D">
        <w:rPr>
          <w:rFonts w:cs="Arial"/>
          <w:szCs w:val="24"/>
        </w:rPr>
        <w:t xml:space="preserve">), these gaps have been persistent over 20 years. </w:t>
      </w:r>
    </w:p>
    <w:p w14:paraId="694A90F5" w14:textId="261A43A7" w:rsidR="000664BA" w:rsidRDefault="000664BA" w:rsidP="00511C18">
      <w:pPr>
        <w:widowControl/>
        <w:spacing w:before="240" w:after="240"/>
        <w:rPr>
          <w:rFonts w:cs="Arial"/>
          <w:szCs w:val="24"/>
        </w:rPr>
      </w:pPr>
      <w:r>
        <w:rPr>
          <w:rFonts w:cs="Arial"/>
          <w:szCs w:val="24"/>
        </w:rPr>
        <w:lastRenderedPageBreak/>
        <w:t>Researchers and practitioners in the educational community have made great efforts to understand the achievement gap and its root causes (</w:t>
      </w:r>
      <w:proofErr w:type="spellStart"/>
      <w:r w:rsidRPr="008265F3">
        <w:rPr>
          <w:rFonts w:cs="Arial"/>
          <w:szCs w:val="24"/>
        </w:rPr>
        <w:t>Bohrnstedt</w:t>
      </w:r>
      <w:proofErr w:type="spellEnd"/>
      <w:r>
        <w:rPr>
          <w:rFonts w:cs="Arial"/>
          <w:szCs w:val="24"/>
        </w:rPr>
        <w:t xml:space="preserve">, </w:t>
      </w:r>
      <w:proofErr w:type="spellStart"/>
      <w:r>
        <w:rPr>
          <w:rFonts w:cs="Arial"/>
          <w:szCs w:val="24"/>
        </w:rPr>
        <w:t>Kitmitto</w:t>
      </w:r>
      <w:proofErr w:type="spellEnd"/>
      <w:r>
        <w:rPr>
          <w:rFonts w:cs="Arial"/>
          <w:szCs w:val="24"/>
        </w:rPr>
        <w:t xml:space="preserve">, </w:t>
      </w:r>
      <w:proofErr w:type="spellStart"/>
      <w:r>
        <w:rPr>
          <w:rFonts w:cs="Arial"/>
          <w:szCs w:val="24"/>
        </w:rPr>
        <w:t>Ogut</w:t>
      </w:r>
      <w:proofErr w:type="spellEnd"/>
      <w:r>
        <w:rPr>
          <w:rFonts w:cs="Arial"/>
          <w:szCs w:val="24"/>
        </w:rPr>
        <w:t>, Sher</w:t>
      </w:r>
      <w:r w:rsidR="006A64E8">
        <w:rPr>
          <w:rFonts w:cs="Arial"/>
          <w:szCs w:val="24"/>
        </w:rPr>
        <w:t>man, and Chan</w:t>
      </w:r>
      <w:r w:rsidR="00D0755E">
        <w:rPr>
          <w:rFonts w:cs="Arial"/>
          <w:szCs w:val="24"/>
        </w:rPr>
        <w:t xml:space="preserve"> 2015; Ladson-Billi</w:t>
      </w:r>
      <w:r w:rsidR="006A64E8">
        <w:rPr>
          <w:rFonts w:cs="Arial"/>
          <w:szCs w:val="24"/>
        </w:rPr>
        <w:t>ngs</w:t>
      </w:r>
      <w:r w:rsidR="00D0755E">
        <w:rPr>
          <w:rFonts w:cs="Arial"/>
          <w:szCs w:val="24"/>
        </w:rPr>
        <w:t xml:space="preserve"> 2006;</w:t>
      </w:r>
      <w:r w:rsidR="006A64E8">
        <w:rPr>
          <w:rFonts w:cs="Arial"/>
          <w:szCs w:val="24"/>
        </w:rPr>
        <w:t xml:space="preserve"> Reardon</w:t>
      </w:r>
      <w:r w:rsidR="00D0755E">
        <w:rPr>
          <w:rFonts w:cs="Arial"/>
          <w:szCs w:val="24"/>
        </w:rPr>
        <w:t xml:space="preserve"> 2011;</w:t>
      </w:r>
      <w:r w:rsidR="006A64E8">
        <w:rPr>
          <w:rFonts w:cs="Arial"/>
          <w:szCs w:val="24"/>
        </w:rPr>
        <w:t xml:space="preserve"> Rothstein</w:t>
      </w:r>
      <w:r w:rsidR="00D0755E">
        <w:rPr>
          <w:rFonts w:cs="Arial"/>
          <w:szCs w:val="24"/>
        </w:rPr>
        <w:t xml:space="preserve"> 2015; </w:t>
      </w:r>
      <w:r w:rsidR="00C321B7">
        <w:rPr>
          <w:rFonts w:cs="Arial"/>
          <w:szCs w:val="24"/>
        </w:rPr>
        <w:t xml:space="preserve">Von </w:t>
      </w:r>
      <w:proofErr w:type="spellStart"/>
      <w:r w:rsidR="00D0755E">
        <w:rPr>
          <w:rFonts w:cs="Arial"/>
          <w:szCs w:val="24"/>
        </w:rPr>
        <w:t>Stu</w:t>
      </w:r>
      <w:r w:rsidR="006A64E8">
        <w:rPr>
          <w:rFonts w:cs="Arial"/>
          <w:szCs w:val="24"/>
        </w:rPr>
        <w:t>mm</w:t>
      </w:r>
      <w:proofErr w:type="spellEnd"/>
      <w:r w:rsidR="00D0755E">
        <w:rPr>
          <w:rFonts w:cs="Arial"/>
          <w:szCs w:val="24"/>
        </w:rPr>
        <w:t xml:space="preserve"> 2017;</w:t>
      </w:r>
      <w:r w:rsidR="006A64E8">
        <w:rPr>
          <w:rFonts w:cs="Arial"/>
          <w:szCs w:val="24"/>
        </w:rPr>
        <w:t xml:space="preserve"> Webb and Thomas</w:t>
      </w:r>
      <w:r>
        <w:rPr>
          <w:rFonts w:cs="Arial"/>
          <w:szCs w:val="24"/>
        </w:rPr>
        <w:t xml:space="preserve"> 2015). Many efforts have been made to close </w:t>
      </w:r>
      <w:r w:rsidR="006A64E8">
        <w:rPr>
          <w:rFonts w:cs="Arial"/>
          <w:szCs w:val="24"/>
        </w:rPr>
        <w:t>the achievement gap (Allington and</w:t>
      </w:r>
      <w:r>
        <w:rPr>
          <w:rFonts w:cs="Arial"/>
          <w:szCs w:val="24"/>
        </w:rPr>
        <w:t xml:space="preserve"> McG</w:t>
      </w:r>
      <w:r w:rsidR="006A64E8">
        <w:rPr>
          <w:rFonts w:cs="Arial"/>
          <w:szCs w:val="24"/>
        </w:rPr>
        <w:t>ill-Franzen</w:t>
      </w:r>
      <w:r w:rsidR="00D0755E">
        <w:rPr>
          <w:rFonts w:cs="Arial"/>
          <w:szCs w:val="24"/>
        </w:rPr>
        <w:t xml:space="preserve"> 2018;</w:t>
      </w:r>
      <w:r w:rsidR="006A64E8">
        <w:rPr>
          <w:rFonts w:cs="Arial"/>
          <w:szCs w:val="24"/>
        </w:rPr>
        <w:t xml:space="preserve"> </w:t>
      </w:r>
      <w:proofErr w:type="spellStart"/>
      <w:r w:rsidR="006A64E8">
        <w:rPr>
          <w:rFonts w:cs="Arial"/>
          <w:szCs w:val="24"/>
        </w:rPr>
        <w:t>EdTrust</w:t>
      </w:r>
      <w:proofErr w:type="spellEnd"/>
      <w:r w:rsidR="006A64E8">
        <w:rPr>
          <w:rFonts w:cs="Arial"/>
          <w:szCs w:val="24"/>
        </w:rPr>
        <w:t>-West</w:t>
      </w:r>
      <w:r w:rsidR="00D0755E">
        <w:rPr>
          <w:rFonts w:cs="Arial"/>
          <w:szCs w:val="24"/>
        </w:rPr>
        <w:t xml:space="preserve"> 2015;</w:t>
      </w:r>
      <w:r w:rsidR="006A64E8">
        <w:rPr>
          <w:rFonts w:cs="Arial"/>
          <w:szCs w:val="24"/>
        </w:rPr>
        <w:t xml:space="preserve"> Darling-Hammond</w:t>
      </w:r>
      <w:r w:rsidR="00D0755E">
        <w:rPr>
          <w:rFonts w:cs="Arial"/>
          <w:szCs w:val="24"/>
        </w:rPr>
        <w:t xml:space="preserve"> 2014;</w:t>
      </w:r>
      <w:r w:rsidR="006A64E8">
        <w:rPr>
          <w:rFonts w:cs="Arial"/>
          <w:szCs w:val="24"/>
        </w:rPr>
        <w:t xml:space="preserve"> </w:t>
      </w:r>
      <w:proofErr w:type="spellStart"/>
      <w:r w:rsidR="006A64E8">
        <w:rPr>
          <w:rFonts w:cs="Arial"/>
          <w:szCs w:val="24"/>
        </w:rPr>
        <w:t>Marachiewicz</w:t>
      </w:r>
      <w:proofErr w:type="spellEnd"/>
      <w:r w:rsidR="006A64E8">
        <w:rPr>
          <w:rFonts w:cs="Arial"/>
          <w:szCs w:val="24"/>
        </w:rPr>
        <w:t>, et al.</w:t>
      </w:r>
      <w:r>
        <w:rPr>
          <w:rFonts w:cs="Arial"/>
          <w:szCs w:val="24"/>
        </w:rPr>
        <w:t xml:space="preserve"> 2016). These efforts led researchers and practitioners to turn their attention </w:t>
      </w:r>
      <w:r w:rsidR="00E55C0B">
        <w:rPr>
          <w:rFonts w:cs="Arial"/>
          <w:szCs w:val="24"/>
        </w:rPr>
        <w:t xml:space="preserve">to improving </w:t>
      </w:r>
      <w:r>
        <w:rPr>
          <w:rFonts w:cs="Arial"/>
          <w:szCs w:val="24"/>
        </w:rPr>
        <w:t>education equity a</w:t>
      </w:r>
      <w:r w:rsidR="006A64E8">
        <w:rPr>
          <w:rFonts w:cs="Arial"/>
          <w:szCs w:val="24"/>
        </w:rPr>
        <w:t xml:space="preserve">nd social justice (Dahill-Brown and Sara 2019; Darling-Hammond; 2010, </w:t>
      </w:r>
      <w:proofErr w:type="spellStart"/>
      <w:r w:rsidR="006A64E8">
        <w:rPr>
          <w:rFonts w:cs="Arial"/>
          <w:szCs w:val="24"/>
        </w:rPr>
        <w:t>Skrla</w:t>
      </w:r>
      <w:proofErr w:type="spellEnd"/>
      <w:r w:rsidR="006A64E8">
        <w:rPr>
          <w:rFonts w:cs="Arial"/>
          <w:szCs w:val="24"/>
        </w:rPr>
        <w:t xml:space="preserve"> and </w:t>
      </w:r>
      <w:proofErr w:type="spellStart"/>
      <w:r w:rsidR="006A64E8">
        <w:rPr>
          <w:rFonts w:cs="Arial"/>
          <w:szCs w:val="24"/>
        </w:rPr>
        <w:t>Scheurich</w:t>
      </w:r>
      <w:proofErr w:type="spellEnd"/>
      <w:r w:rsidR="006A64E8">
        <w:rPr>
          <w:rFonts w:cs="Arial"/>
          <w:szCs w:val="24"/>
        </w:rPr>
        <w:t xml:space="preserve"> 2004; </w:t>
      </w:r>
      <w:proofErr w:type="spellStart"/>
      <w:r w:rsidR="006A64E8">
        <w:rPr>
          <w:rFonts w:cs="Arial"/>
          <w:szCs w:val="24"/>
        </w:rPr>
        <w:t>Zajda</w:t>
      </w:r>
      <w:proofErr w:type="spellEnd"/>
      <w:r w:rsidR="006A64E8">
        <w:rPr>
          <w:rFonts w:cs="Arial"/>
          <w:szCs w:val="24"/>
        </w:rPr>
        <w:t xml:space="preserve">, </w:t>
      </w:r>
      <w:proofErr w:type="spellStart"/>
      <w:r w:rsidR="006A64E8">
        <w:rPr>
          <w:rFonts w:cs="Arial"/>
          <w:szCs w:val="24"/>
        </w:rPr>
        <w:t>Majhanovich</w:t>
      </w:r>
      <w:proofErr w:type="spellEnd"/>
      <w:r w:rsidR="006A64E8">
        <w:rPr>
          <w:rFonts w:cs="Arial"/>
          <w:szCs w:val="24"/>
        </w:rPr>
        <w:t>, and Rust, 2006) to close</w:t>
      </w:r>
      <w:r>
        <w:rPr>
          <w:rFonts w:cs="Arial"/>
          <w:szCs w:val="24"/>
        </w:rPr>
        <w:t xml:space="preserve"> the achievement gap.</w:t>
      </w:r>
    </w:p>
    <w:p w14:paraId="6CA7FB25" w14:textId="7A2B5149" w:rsidR="000664BA" w:rsidRDefault="000F30C9" w:rsidP="00511C18">
      <w:pPr>
        <w:widowControl/>
        <w:spacing w:before="240" w:after="240"/>
      </w:pPr>
      <w:r>
        <w:t>Although there have been</w:t>
      </w:r>
      <w:r w:rsidR="000664BA">
        <w:t xml:space="preserve"> enormous efforts in closing the achievement gap, research studies reveal</w:t>
      </w:r>
      <w:r w:rsidR="000664BA" w:rsidRPr="00B2173A">
        <w:t xml:space="preserve"> that inequities in schools have not improved over the past </w:t>
      </w:r>
      <w:r w:rsidR="000664BA">
        <w:t xml:space="preserve">decades or since Brown vs The Board of Education court case </w:t>
      </w:r>
      <w:r w:rsidR="00E55C0B">
        <w:t>(Garcia and Weiss</w:t>
      </w:r>
      <w:r w:rsidR="000664BA" w:rsidRPr="00B2173A">
        <w:t xml:space="preserve"> 2017</w:t>
      </w:r>
      <w:r w:rsidR="00E55C0B">
        <w:t xml:space="preserve">; </w:t>
      </w:r>
      <w:proofErr w:type="spellStart"/>
      <w:r w:rsidR="00E55C0B">
        <w:t>Orfield</w:t>
      </w:r>
      <w:proofErr w:type="spellEnd"/>
      <w:r w:rsidR="00E55C0B">
        <w:t xml:space="preserve">, Frankenberg, </w:t>
      </w:r>
      <w:proofErr w:type="spellStart"/>
      <w:r w:rsidR="00E55C0B">
        <w:t>Ee</w:t>
      </w:r>
      <w:proofErr w:type="spellEnd"/>
      <w:r w:rsidR="00E55C0B">
        <w:t xml:space="preserve">, and </w:t>
      </w:r>
      <w:proofErr w:type="spellStart"/>
      <w:r w:rsidR="00E55C0B">
        <w:t>Kuscera</w:t>
      </w:r>
      <w:proofErr w:type="spellEnd"/>
      <w:r w:rsidR="000664BA">
        <w:t xml:space="preserve"> 2014, Skiba, et al, 2008</w:t>
      </w:r>
      <w:r w:rsidR="000664BA" w:rsidRPr="00B2173A">
        <w:t>),</w:t>
      </w:r>
      <w:r w:rsidR="000664BA" w:rsidRPr="001B635D">
        <w:t xml:space="preserve"> and these problems tend to compound with the “rich”</w:t>
      </w:r>
      <w:r w:rsidR="000664BA">
        <w:t xml:space="preserve"> </w:t>
      </w:r>
      <w:r w:rsidR="000664BA" w:rsidRPr="001B635D">
        <w:t>getting richer while the p</w:t>
      </w:r>
      <w:r w:rsidR="000664BA">
        <w:t>oor continue to be marginalized. In California, large achievement gaps persist by race, ethnicity, income, and English learn</w:t>
      </w:r>
      <w:r w:rsidR="00E55C0B">
        <w:t xml:space="preserve">er status (Loeb, </w:t>
      </w:r>
      <w:proofErr w:type="spellStart"/>
      <w:r w:rsidR="00E55C0B">
        <w:t>Edly</w:t>
      </w:r>
      <w:proofErr w:type="spellEnd"/>
      <w:r w:rsidR="00E55C0B">
        <w:t xml:space="preserve">, </w:t>
      </w:r>
      <w:proofErr w:type="spellStart"/>
      <w:r w:rsidR="00E55C0B">
        <w:t>Imazeki</w:t>
      </w:r>
      <w:proofErr w:type="spellEnd"/>
      <w:r w:rsidR="00E55C0B">
        <w:t>, and Stipek</w:t>
      </w:r>
      <w:r w:rsidR="000664BA">
        <w:t xml:space="preserve"> 2018).</w:t>
      </w:r>
      <w:r w:rsidR="00E66FBF">
        <w:t xml:space="preserve"> The persistence of the achievement gap is also found nationwide (</w:t>
      </w:r>
      <w:proofErr w:type="spellStart"/>
      <w:r w:rsidR="00E66FBF">
        <w:t>Paschall</w:t>
      </w:r>
      <w:proofErr w:type="spellEnd"/>
      <w:r w:rsidR="00E66FBF">
        <w:t xml:space="preserve">, Gershoff, and </w:t>
      </w:r>
      <w:proofErr w:type="spellStart"/>
      <w:r w:rsidR="00E66FBF">
        <w:t>Kuhfeld</w:t>
      </w:r>
      <w:proofErr w:type="spellEnd"/>
      <w:r w:rsidR="00E66FBF">
        <w:t xml:space="preserve"> 2018).</w:t>
      </w:r>
    </w:p>
    <w:p w14:paraId="035A99C1" w14:textId="77777777" w:rsidR="000664BA" w:rsidRDefault="000664BA" w:rsidP="00511C18">
      <w:pPr>
        <w:widowControl/>
        <w:spacing w:before="240" w:after="240"/>
        <w:rPr>
          <w:rFonts w:cs="Arial"/>
          <w:szCs w:val="24"/>
        </w:rPr>
      </w:pPr>
      <w:r>
        <w:rPr>
          <w:rFonts w:cs="Arial"/>
          <w:szCs w:val="24"/>
        </w:rPr>
        <w:t>In supporting the state’s efforts to promote education equity, the California Legislature took action in allocating resources designated to the CEPIP. In the Budget Act of 2017, the Legislature appropriated</w:t>
      </w:r>
      <w:r w:rsidRPr="00367235">
        <w:rPr>
          <w:rFonts w:cs="Arial"/>
          <w:szCs w:val="24"/>
        </w:rPr>
        <w:t xml:space="preserve"> $2</w:t>
      </w:r>
      <w:r w:rsidR="008265F3">
        <w:rPr>
          <w:rFonts w:cs="Arial"/>
          <w:szCs w:val="24"/>
        </w:rPr>
        <w:t>.</w:t>
      </w:r>
      <w:r w:rsidRPr="00367235">
        <w:rPr>
          <w:rFonts w:cs="Arial"/>
          <w:szCs w:val="24"/>
        </w:rPr>
        <w:t>5</w:t>
      </w:r>
      <w:r w:rsidR="008265F3">
        <w:rPr>
          <w:rFonts w:cs="Arial"/>
          <w:szCs w:val="24"/>
        </w:rPr>
        <w:t xml:space="preserve"> million</w:t>
      </w:r>
      <w:r w:rsidRPr="00367235">
        <w:rPr>
          <w:rFonts w:cs="Arial"/>
          <w:szCs w:val="24"/>
        </w:rPr>
        <w:t xml:space="preserve"> from the General Fund to the Superintendent of Public Instruction on a one-time basis to establish the </w:t>
      </w:r>
      <w:r>
        <w:rPr>
          <w:rFonts w:cs="Arial"/>
          <w:szCs w:val="24"/>
        </w:rPr>
        <w:t xml:space="preserve">CEPIP (AB 99, Sec. 87). It specified to fund at least two county offices of education (COEs) as lead agencies over two school years (2018–19 and 2019–20). </w:t>
      </w:r>
    </w:p>
    <w:p w14:paraId="45C93663" w14:textId="77777777" w:rsidR="000664BA" w:rsidRDefault="00B83A4B" w:rsidP="00511C18">
      <w:pPr>
        <w:widowControl/>
        <w:spacing w:before="240" w:after="240"/>
        <w:rPr>
          <w:rFonts w:cs="Arial"/>
          <w:szCs w:val="24"/>
        </w:rPr>
      </w:pPr>
      <w:r>
        <w:rPr>
          <w:rFonts w:cs="Arial"/>
          <w:szCs w:val="24"/>
        </w:rPr>
        <w:t>The CDE, worked</w:t>
      </w:r>
      <w:r w:rsidR="000664BA">
        <w:rPr>
          <w:rFonts w:cs="Arial"/>
          <w:szCs w:val="24"/>
        </w:rPr>
        <w:t xml:space="preserve"> closely with internal and external stakeholders to develop a Request for Application (RFA), conduct</w:t>
      </w:r>
      <w:r w:rsidR="00D25278">
        <w:rPr>
          <w:rFonts w:cs="Arial"/>
          <w:szCs w:val="24"/>
        </w:rPr>
        <w:t>ed</w:t>
      </w:r>
      <w:r w:rsidR="000664BA">
        <w:rPr>
          <w:rFonts w:cs="Arial"/>
          <w:szCs w:val="24"/>
        </w:rPr>
        <w:t xml:space="preserve"> application workshops, facilitate</w:t>
      </w:r>
      <w:r w:rsidR="00D25278">
        <w:rPr>
          <w:rFonts w:cs="Arial"/>
          <w:szCs w:val="24"/>
        </w:rPr>
        <w:t>d</w:t>
      </w:r>
      <w:r w:rsidR="000664BA">
        <w:rPr>
          <w:rFonts w:cs="Arial"/>
          <w:szCs w:val="24"/>
        </w:rPr>
        <w:t xml:space="preserve"> an application readers’ conference, and select</w:t>
      </w:r>
      <w:r w:rsidR="00D25278">
        <w:rPr>
          <w:rFonts w:cs="Arial"/>
          <w:szCs w:val="24"/>
        </w:rPr>
        <w:t>ed</w:t>
      </w:r>
      <w:r w:rsidR="000664BA">
        <w:rPr>
          <w:rFonts w:cs="Arial"/>
          <w:szCs w:val="24"/>
        </w:rPr>
        <w:t xml:space="preserve"> two lead agencies. San Diego COE and Santa Clara COE received the top scores for their applications, and therefore, were designated as the Equity Leads for the CEPIP. </w:t>
      </w:r>
      <w:r w:rsidR="000664BA" w:rsidRPr="004C0BD3">
        <w:rPr>
          <w:rFonts w:cs="Arial"/>
          <w:szCs w:val="24"/>
        </w:rPr>
        <w:t>The details of the process were reported in the CEPIP 2018 Legislative Report (CDE 2019</w:t>
      </w:r>
      <w:r w:rsidR="000952B9">
        <w:rPr>
          <w:rFonts w:cs="Arial"/>
          <w:szCs w:val="24"/>
        </w:rPr>
        <w:t>a</w:t>
      </w:r>
      <w:r w:rsidR="000664BA" w:rsidRPr="004C0BD3">
        <w:rPr>
          <w:rFonts w:cs="Arial"/>
          <w:szCs w:val="24"/>
        </w:rPr>
        <w:t>).</w:t>
      </w:r>
    </w:p>
    <w:p w14:paraId="5338536C" w14:textId="63B2DF1B" w:rsidR="000664BA" w:rsidRDefault="005417D4" w:rsidP="00511C18">
      <w:pPr>
        <w:widowControl/>
        <w:spacing w:before="240" w:after="240"/>
        <w:rPr>
          <w:rFonts w:cs="Arial"/>
          <w:szCs w:val="24"/>
        </w:rPr>
      </w:pPr>
      <w:r>
        <w:rPr>
          <w:rFonts w:cs="Arial"/>
          <w:szCs w:val="24"/>
        </w:rPr>
        <w:t>This</w:t>
      </w:r>
      <w:r w:rsidR="000664BA">
        <w:rPr>
          <w:rFonts w:cs="Arial"/>
          <w:szCs w:val="24"/>
        </w:rPr>
        <w:t xml:space="preserve"> report </w:t>
      </w:r>
      <w:r>
        <w:rPr>
          <w:rFonts w:cs="Arial"/>
          <w:szCs w:val="24"/>
        </w:rPr>
        <w:t xml:space="preserve">is the second CEPIP Legislative Report following the first report mentioned above. </w:t>
      </w:r>
      <w:r w:rsidR="00B83A4B">
        <w:rPr>
          <w:rFonts w:cs="Arial"/>
          <w:szCs w:val="24"/>
        </w:rPr>
        <w:t>This report summarizes</w:t>
      </w:r>
      <w:r w:rsidR="000952B9">
        <w:rPr>
          <w:rFonts w:cs="Arial"/>
          <w:szCs w:val="24"/>
        </w:rPr>
        <w:t xml:space="preserve"> th</w:t>
      </w:r>
      <w:r w:rsidR="00B83A4B">
        <w:rPr>
          <w:rFonts w:cs="Arial"/>
          <w:szCs w:val="24"/>
        </w:rPr>
        <w:t>e first year of</w:t>
      </w:r>
      <w:r w:rsidR="000952B9">
        <w:rPr>
          <w:rFonts w:cs="Arial"/>
          <w:szCs w:val="24"/>
        </w:rPr>
        <w:t xml:space="preserve"> implementation of the </w:t>
      </w:r>
      <w:r w:rsidR="000664BA">
        <w:rPr>
          <w:rFonts w:cs="Arial"/>
          <w:szCs w:val="24"/>
        </w:rPr>
        <w:t xml:space="preserve">CEPIP </w:t>
      </w:r>
      <w:r w:rsidR="00B83A4B">
        <w:rPr>
          <w:rFonts w:cs="Arial"/>
          <w:szCs w:val="24"/>
        </w:rPr>
        <w:t xml:space="preserve">activities </w:t>
      </w:r>
      <w:r w:rsidR="000952B9">
        <w:rPr>
          <w:rFonts w:cs="Arial"/>
          <w:szCs w:val="24"/>
        </w:rPr>
        <w:t>from July 1, 2018</w:t>
      </w:r>
      <w:r w:rsidR="008D2289">
        <w:rPr>
          <w:rFonts w:cs="Arial"/>
          <w:szCs w:val="24"/>
        </w:rPr>
        <w:t>,</w:t>
      </w:r>
      <w:r w:rsidR="000952B9">
        <w:rPr>
          <w:rFonts w:cs="Arial"/>
          <w:szCs w:val="24"/>
        </w:rPr>
        <w:t xml:space="preserve"> to June 30, 2019. I</w:t>
      </w:r>
      <w:r w:rsidR="00B83A4B">
        <w:rPr>
          <w:rFonts w:cs="Arial"/>
          <w:szCs w:val="24"/>
        </w:rPr>
        <w:t>t</w:t>
      </w:r>
      <w:r w:rsidR="000664BA">
        <w:rPr>
          <w:rFonts w:cs="Arial"/>
          <w:szCs w:val="24"/>
        </w:rPr>
        <w:t xml:space="preserve"> also provides lessons learned and recommendations for next year’s CEPIP activities.</w:t>
      </w:r>
    </w:p>
    <w:p w14:paraId="32E53FCF" w14:textId="6CB8EFC1" w:rsidR="000664BA" w:rsidRPr="004C6BF7" w:rsidRDefault="000664BA" w:rsidP="00511C18">
      <w:pPr>
        <w:pStyle w:val="Heading2"/>
      </w:pPr>
      <w:bookmarkStart w:id="12" w:name="_Toc46228493"/>
      <w:r w:rsidRPr="004C6BF7">
        <w:t>II. CEPIP D</w:t>
      </w:r>
      <w:r w:rsidR="00801031">
        <w:t>escription</w:t>
      </w:r>
      <w:bookmarkEnd w:id="12"/>
    </w:p>
    <w:p w14:paraId="1FCDBF6B" w14:textId="07246FC1" w:rsidR="000664BA" w:rsidRPr="002A4508" w:rsidRDefault="000664BA" w:rsidP="00511C18">
      <w:pPr>
        <w:pStyle w:val="Heading3"/>
      </w:pPr>
      <w:bookmarkStart w:id="13" w:name="_Toc46228494"/>
      <w:r w:rsidRPr="002A4508">
        <w:t>CEPIP Goals</w:t>
      </w:r>
      <w:bookmarkEnd w:id="13"/>
    </w:p>
    <w:p w14:paraId="33352FD5" w14:textId="77777777" w:rsidR="000664BA" w:rsidRDefault="000664BA" w:rsidP="00511C18">
      <w:pPr>
        <w:spacing w:before="240" w:after="240"/>
      </w:pPr>
      <w:r>
        <w:t>The CEPIP RFA included three of the six goals of education equity taken from the Quality Schooling Framework (CDE, 2018a). The goals are as follows:</w:t>
      </w:r>
    </w:p>
    <w:p w14:paraId="1A78CE8E" w14:textId="77777777" w:rsidR="000664BA" w:rsidRDefault="000664BA" w:rsidP="00511C18">
      <w:pPr>
        <w:pStyle w:val="ListParagraph"/>
        <w:numPr>
          <w:ilvl w:val="0"/>
          <w:numId w:val="13"/>
        </w:numPr>
        <w:spacing w:before="240" w:after="240"/>
      </w:pPr>
      <w:r w:rsidRPr="00C97A95">
        <w:t>Comparably high academic achievement and other positive outcomes for all students</w:t>
      </w:r>
    </w:p>
    <w:p w14:paraId="2798DEB3" w14:textId="77777777" w:rsidR="000664BA" w:rsidRDefault="000664BA" w:rsidP="00511C18">
      <w:pPr>
        <w:pStyle w:val="ListParagraph"/>
        <w:numPr>
          <w:ilvl w:val="0"/>
          <w:numId w:val="13"/>
        </w:numPr>
        <w:spacing w:before="240" w:after="240"/>
      </w:pPr>
      <w:r w:rsidRPr="00C97A95">
        <w:lastRenderedPageBreak/>
        <w:t>Equitable access and inclusion for all students</w:t>
      </w:r>
    </w:p>
    <w:p w14:paraId="2EA44CF3" w14:textId="77777777" w:rsidR="000664BA" w:rsidRPr="00C97A95" w:rsidRDefault="000664BA" w:rsidP="00511C18">
      <w:pPr>
        <w:pStyle w:val="ListParagraph"/>
        <w:numPr>
          <w:ilvl w:val="0"/>
          <w:numId w:val="13"/>
        </w:numPr>
        <w:spacing w:before="240" w:after="240"/>
      </w:pPr>
      <w:r w:rsidRPr="00C97A95">
        <w:t>Equitable treatment for all students</w:t>
      </w:r>
    </w:p>
    <w:p w14:paraId="7028CA89" w14:textId="578F8833" w:rsidR="000664BA" w:rsidRPr="004C6BF7" w:rsidRDefault="000664BA" w:rsidP="00511C18">
      <w:pPr>
        <w:pStyle w:val="Heading3"/>
      </w:pPr>
      <w:bookmarkStart w:id="14" w:name="_Toc46228495"/>
      <w:r w:rsidRPr="004C6BF7">
        <w:t>Equity Leads’ Targeted Student Groups</w:t>
      </w:r>
      <w:bookmarkEnd w:id="14"/>
    </w:p>
    <w:p w14:paraId="67EED5D0" w14:textId="77777777" w:rsidR="000664BA" w:rsidRDefault="000664BA" w:rsidP="00511C18">
      <w:pPr>
        <w:spacing w:before="240" w:after="240"/>
      </w:pPr>
      <w:r>
        <w:t>Each Equity Lead specified in their application the specific targeted student groups to be serve throughout the grant period. Table I shows the targeted student groups served by each agency.</w:t>
      </w:r>
    </w:p>
    <w:p w14:paraId="508D8A11" w14:textId="77777777" w:rsidR="000664BA" w:rsidRDefault="000664BA" w:rsidP="00511C18">
      <w:pPr>
        <w:rPr>
          <w:b/>
        </w:rPr>
      </w:pPr>
      <w:r w:rsidRPr="00E35616">
        <w:rPr>
          <w:b/>
        </w:rPr>
        <w:t>Table 1 Targeted Student Groups Served by Equity Leads</w:t>
      </w:r>
    </w:p>
    <w:p w14:paraId="32BCDFB5" w14:textId="77777777" w:rsidR="00E35616" w:rsidRPr="00E35616" w:rsidRDefault="00E35616" w:rsidP="00511C18">
      <w:pPr>
        <w:jc w:val="center"/>
        <w:rPr>
          <w:b/>
        </w:rPr>
      </w:pPr>
    </w:p>
    <w:tbl>
      <w:tblPr>
        <w:tblStyle w:val="TableGrid3"/>
        <w:tblW w:w="9180" w:type="dxa"/>
        <w:tblLook w:val="04A0" w:firstRow="1" w:lastRow="0" w:firstColumn="1" w:lastColumn="0" w:noHBand="0" w:noVBand="1"/>
        <w:tblDescription w:val="Equity Lead Targeted Student Groups"/>
      </w:tblPr>
      <w:tblGrid>
        <w:gridCol w:w="4980"/>
        <w:gridCol w:w="4200"/>
      </w:tblGrid>
      <w:tr w:rsidR="000E2BB4" w:rsidRPr="000E2BB4" w14:paraId="3DBAD421" w14:textId="77777777" w:rsidTr="00F376D4">
        <w:trPr>
          <w:trHeight w:val="432"/>
          <w:tblHeader/>
        </w:trPr>
        <w:tc>
          <w:tcPr>
            <w:tcW w:w="4980" w:type="dxa"/>
            <w:shd w:val="clear" w:color="auto" w:fill="D9D9D9" w:themeFill="background1" w:themeFillShade="D9"/>
            <w:vAlign w:val="center"/>
          </w:tcPr>
          <w:p w14:paraId="60F69187" w14:textId="77777777" w:rsidR="000E2BB4" w:rsidRPr="000E2BB4" w:rsidRDefault="000E2BB4" w:rsidP="00511C18">
            <w:pPr>
              <w:widowControl/>
              <w:jc w:val="center"/>
              <w:rPr>
                <w:rFonts w:cs="Arial"/>
                <w:b/>
                <w:bCs/>
                <w:snapToGrid/>
                <w:color w:val="000000"/>
                <w:szCs w:val="24"/>
              </w:rPr>
            </w:pPr>
            <w:r w:rsidRPr="000E2BB4">
              <w:rPr>
                <w:rFonts w:cs="Arial"/>
                <w:b/>
                <w:bCs/>
                <w:snapToGrid/>
                <w:color w:val="000000"/>
                <w:szCs w:val="24"/>
              </w:rPr>
              <w:t>Equity Leads</w:t>
            </w:r>
          </w:p>
        </w:tc>
        <w:tc>
          <w:tcPr>
            <w:tcW w:w="4200" w:type="dxa"/>
            <w:shd w:val="clear" w:color="auto" w:fill="D9D9D9" w:themeFill="background1" w:themeFillShade="D9"/>
            <w:vAlign w:val="center"/>
          </w:tcPr>
          <w:p w14:paraId="6E39E2B3" w14:textId="77777777" w:rsidR="000E2BB4" w:rsidRPr="000E2BB4" w:rsidRDefault="000E2BB4" w:rsidP="00511C18">
            <w:pPr>
              <w:widowControl/>
              <w:jc w:val="center"/>
              <w:rPr>
                <w:rFonts w:cs="Arial"/>
                <w:b/>
                <w:snapToGrid/>
                <w:color w:val="000000"/>
                <w:szCs w:val="24"/>
              </w:rPr>
            </w:pPr>
            <w:r w:rsidRPr="000E2BB4">
              <w:rPr>
                <w:rFonts w:cs="Arial"/>
                <w:b/>
                <w:snapToGrid/>
                <w:color w:val="000000"/>
                <w:szCs w:val="24"/>
              </w:rPr>
              <w:t>Student Groups Served</w:t>
            </w:r>
          </w:p>
        </w:tc>
      </w:tr>
      <w:tr w:rsidR="000664BA" w:rsidRPr="00A85E89" w14:paraId="0EEE01D4" w14:textId="77777777" w:rsidTr="00F376D4">
        <w:trPr>
          <w:trHeight w:val="720"/>
        </w:trPr>
        <w:tc>
          <w:tcPr>
            <w:tcW w:w="4980" w:type="dxa"/>
            <w:vAlign w:val="center"/>
            <w:hideMark/>
          </w:tcPr>
          <w:p w14:paraId="4368CD6E" w14:textId="77777777" w:rsidR="000664BA" w:rsidRPr="00DA4711" w:rsidRDefault="000664BA" w:rsidP="00511C18">
            <w:pPr>
              <w:widowControl/>
              <w:jc w:val="center"/>
              <w:rPr>
                <w:rFonts w:cs="Arial"/>
                <w:bCs/>
                <w:snapToGrid/>
                <w:color w:val="000000"/>
                <w:szCs w:val="24"/>
              </w:rPr>
            </w:pPr>
            <w:r w:rsidRPr="00DA4711">
              <w:rPr>
                <w:rFonts w:cs="Arial"/>
                <w:bCs/>
                <w:snapToGrid/>
                <w:color w:val="000000"/>
                <w:szCs w:val="24"/>
              </w:rPr>
              <w:t>San Diego COE</w:t>
            </w:r>
          </w:p>
        </w:tc>
        <w:tc>
          <w:tcPr>
            <w:tcW w:w="4200" w:type="dxa"/>
            <w:vAlign w:val="center"/>
            <w:hideMark/>
          </w:tcPr>
          <w:p w14:paraId="269DCDD4" w14:textId="77777777" w:rsidR="000664BA" w:rsidRPr="00A85E89" w:rsidRDefault="000664BA" w:rsidP="00511C18">
            <w:pPr>
              <w:widowControl/>
              <w:jc w:val="center"/>
              <w:rPr>
                <w:rFonts w:cs="Arial"/>
                <w:snapToGrid/>
                <w:color w:val="000000"/>
                <w:szCs w:val="24"/>
              </w:rPr>
            </w:pPr>
            <w:r w:rsidRPr="00A85E89">
              <w:rPr>
                <w:rFonts w:cs="Arial"/>
                <w:snapToGrid/>
                <w:color w:val="000000"/>
                <w:szCs w:val="24"/>
              </w:rPr>
              <w:t>African American, English learners</w:t>
            </w:r>
          </w:p>
        </w:tc>
      </w:tr>
      <w:tr w:rsidR="000664BA" w:rsidRPr="00A85E89" w14:paraId="4753AF44" w14:textId="77777777" w:rsidTr="00F376D4">
        <w:trPr>
          <w:trHeight w:val="720"/>
        </w:trPr>
        <w:tc>
          <w:tcPr>
            <w:tcW w:w="4980" w:type="dxa"/>
            <w:vAlign w:val="center"/>
            <w:hideMark/>
          </w:tcPr>
          <w:p w14:paraId="5BC8E440" w14:textId="77777777" w:rsidR="000664BA" w:rsidRPr="00DA4711" w:rsidRDefault="000664BA" w:rsidP="00511C18">
            <w:pPr>
              <w:widowControl/>
              <w:jc w:val="center"/>
              <w:rPr>
                <w:rFonts w:cs="Arial"/>
                <w:bCs/>
                <w:snapToGrid/>
                <w:color w:val="000000"/>
                <w:szCs w:val="24"/>
              </w:rPr>
            </w:pPr>
            <w:r w:rsidRPr="00DA4711">
              <w:rPr>
                <w:rFonts w:cs="Arial"/>
                <w:bCs/>
                <w:snapToGrid/>
                <w:color w:val="000000"/>
                <w:szCs w:val="24"/>
              </w:rPr>
              <w:t>Santa Clara COE</w:t>
            </w:r>
          </w:p>
        </w:tc>
        <w:tc>
          <w:tcPr>
            <w:tcW w:w="4200" w:type="dxa"/>
            <w:vAlign w:val="center"/>
            <w:hideMark/>
          </w:tcPr>
          <w:p w14:paraId="44E95AF8" w14:textId="6DE71951" w:rsidR="000664BA" w:rsidRPr="00A85E89" w:rsidRDefault="000664BA" w:rsidP="00511C18">
            <w:pPr>
              <w:widowControl/>
              <w:jc w:val="center"/>
              <w:rPr>
                <w:rFonts w:cs="Arial"/>
                <w:snapToGrid/>
                <w:color w:val="000000"/>
                <w:szCs w:val="24"/>
              </w:rPr>
            </w:pPr>
            <w:r w:rsidRPr="00A85E89">
              <w:rPr>
                <w:rFonts w:cs="Arial"/>
                <w:snapToGrid/>
                <w:color w:val="000000"/>
                <w:szCs w:val="24"/>
              </w:rPr>
              <w:t>African American, English learners, and Students with Disabilities</w:t>
            </w:r>
          </w:p>
        </w:tc>
      </w:tr>
    </w:tbl>
    <w:p w14:paraId="35B60842" w14:textId="237DA9E4" w:rsidR="000664BA" w:rsidRPr="005E6A8D" w:rsidRDefault="000664BA" w:rsidP="00511C18">
      <w:pPr>
        <w:pStyle w:val="Heading3"/>
      </w:pPr>
      <w:bookmarkStart w:id="15" w:name="_Toc46228496"/>
      <w:r w:rsidRPr="005E6A8D">
        <w:t>Equity Leads’ Program Overview and Activities</w:t>
      </w:r>
      <w:bookmarkEnd w:id="15"/>
    </w:p>
    <w:p w14:paraId="23679F39" w14:textId="657E216E" w:rsidR="000664BA" w:rsidRPr="003E6582" w:rsidRDefault="000664BA" w:rsidP="00511C18">
      <w:pPr>
        <w:pStyle w:val="Heading4"/>
        <w:jc w:val="center"/>
      </w:pPr>
      <w:r w:rsidRPr="003E6582">
        <w:t>San Diego C</w:t>
      </w:r>
      <w:r w:rsidR="008265F3" w:rsidRPr="003E6582">
        <w:t>OE</w:t>
      </w:r>
      <w:r w:rsidRPr="003E6582">
        <w:t>’s CEPIP</w:t>
      </w:r>
    </w:p>
    <w:p w14:paraId="59541FFA" w14:textId="2256E909" w:rsidR="000664BA" w:rsidRDefault="000664BA" w:rsidP="00511C18">
      <w:pPr>
        <w:spacing w:before="240" w:after="240"/>
      </w:pPr>
      <w:r>
        <w:t xml:space="preserve">Realizing the complexity of intersectionality and race </w:t>
      </w:r>
      <w:r w:rsidR="001A5991">
        <w:t>subordination (Ladson-Billings and Tate 1995; Harris and Leonardo</w:t>
      </w:r>
      <w:r>
        <w:t xml:space="preserve"> 2018), the San Diego COE Equity Lead, along with its partner Kern COE designed its program </w:t>
      </w:r>
      <w:r w:rsidRPr="007A79E9">
        <w:t>to support challenging learning opportunities for students, ensure equitable school interactions, and improve access to rigorous coursework, while guaranteeing high achievement for all students.</w:t>
      </w:r>
      <w:r>
        <w:t xml:space="preserve"> To achieve these objectives, the San Diego COE’s Equity Program focuses on building equity leadership in its partner</w:t>
      </w:r>
      <w:r w:rsidR="001A5991">
        <w:t>ing schools (Johnson,</w:t>
      </w:r>
      <w:r w:rsidR="00AF3383">
        <w:t xml:space="preserve"> Jr.,</w:t>
      </w:r>
      <w:r w:rsidR="001A5991">
        <w:t xml:space="preserve"> Uline, and Perez</w:t>
      </w:r>
      <w:r>
        <w:t xml:space="preserve"> 2017). The San Diego COE Equity Lead conducted CEPIP activities that focused on p</w:t>
      </w:r>
      <w:r w:rsidRPr="001B635D">
        <w:t>reparing teachers and administrators to meet the needs of</w:t>
      </w:r>
      <w:r>
        <w:t xml:space="preserve"> its targeted</w:t>
      </w:r>
      <w:r w:rsidRPr="001B635D">
        <w:t xml:space="preserve"> stud</w:t>
      </w:r>
      <w:r>
        <w:t>ent groups: African Americans and English learners. Through p</w:t>
      </w:r>
      <w:r w:rsidR="004C3CCE">
        <w:t>rofessional learning, reflection</w:t>
      </w:r>
      <w:r>
        <w:t xml:space="preserve">, and team building, they built their equity capacity by conducting the following activities: </w:t>
      </w:r>
    </w:p>
    <w:p w14:paraId="0B5BA499" w14:textId="77777777" w:rsidR="000664BA" w:rsidRDefault="000664BA" w:rsidP="00511C18">
      <w:pPr>
        <w:pStyle w:val="ListParagraph"/>
        <w:numPr>
          <w:ilvl w:val="0"/>
          <w:numId w:val="13"/>
        </w:numPr>
        <w:spacing w:before="240" w:after="240"/>
      </w:pPr>
      <w:r>
        <w:t>Engaging</w:t>
      </w:r>
      <w:r w:rsidRPr="001B635D">
        <w:t xml:space="preserve"> educators</w:t>
      </w:r>
      <w:r>
        <w:t xml:space="preserve"> </w:t>
      </w:r>
      <w:r w:rsidR="004C3CCE">
        <w:t xml:space="preserve">in </w:t>
      </w:r>
      <w:r w:rsidRPr="001B635D">
        <w:t>critical dialogue needed to star</w:t>
      </w:r>
      <w:r>
        <w:t>t remedying equity issues</w:t>
      </w:r>
    </w:p>
    <w:p w14:paraId="55C62ED6" w14:textId="77777777" w:rsidR="000664BA" w:rsidRDefault="000664BA" w:rsidP="00511C18">
      <w:pPr>
        <w:pStyle w:val="ListParagraph"/>
        <w:numPr>
          <w:ilvl w:val="0"/>
          <w:numId w:val="13"/>
        </w:numPr>
        <w:spacing w:before="240" w:after="240"/>
      </w:pPr>
      <w:r>
        <w:t>Building</w:t>
      </w:r>
      <w:r w:rsidRPr="001B635D">
        <w:t xml:space="preserve"> educators’</w:t>
      </w:r>
      <w:r>
        <w:t xml:space="preserve"> </w:t>
      </w:r>
      <w:r w:rsidRPr="001B635D">
        <w:t>knowledge, skills, and attitudes around equity-conscious teaching and leadership</w:t>
      </w:r>
      <w:r>
        <w:t xml:space="preserve"> </w:t>
      </w:r>
      <w:r w:rsidRPr="001B635D">
        <w:t>practices and con</w:t>
      </w:r>
      <w:r>
        <w:t>tinuous improvement, and</w:t>
      </w:r>
    </w:p>
    <w:p w14:paraId="2EFFBCDB" w14:textId="77777777" w:rsidR="000664BA" w:rsidRDefault="000664BA" w:rsidP="00511C18">
      <w:pPr>
        <w:pStyle w:val="ListParagraph"/>
        <w:numPr>
          <w:ilvl w:val="0"/>
          <w:numId w:val="13"/>
        </w:numPr>
        <w:spacing w:before="240" w:after="240"/>
      </w:pPr>
      <w:r>
        <w:t>Having</w:t>
      </w:r>
      <w:r w:rsidRPr="001B635D">
        <w:t xml:space="preserve"> the data infrastructure and appropriate</w:t>
      </w:r>
      <w:r>
        <w:t xml:space="preserve"> </w:t>
      </w:r>
      <w:r w:rsidRPr="001B635D">
        <w:t>measu</w:t>
      </w:r>
      <w:r>
        <w:t>res in place to determine long</w:t>
      </w:r>
      <w:r w:rsidRPr="001B635D">
        <w:t xml:space="preserve">-term effects of the work. </w:t>
      </w:r>
    </w:p>
    <w:p w14:paraId="23FCF3BA" w14:textId="77777777" w:rsidR="000664BA" w:rsidRPr="00596943" w:rsidRDefault="000664BA" w:rsidP="00511C18">
      <w:pPr>
        <w:pStyle w:val="Heading5"/>
        <w:rPr>
          <w:b/>
          <w:sz w:val="24"/>
          <w:szCs w:val="24"/>
        </w:rPr>
      </w:pPr>
      <w:r w:rsidRPr="00596943">
        <w:rPr>
          <w:b/>
          <w:sz w:val="24"/>
          <w:szCs w:val="24"/>
        </w:rPr>
        <w:t>Equity Audit</w:t>
      </w:r>
    </w:p>
    <w:p w14:paraId="3A1EFC10" w14:textId="602606FE" w:rsidR="000664BA" w:rsidRPr="00AC391D" w:rsidRDefault="000664BA" w:rsidP="00511C18">
      <w:pPr>
        <w:spacing w:before="240" w:after="240"/>
        <w:rPr>
          <w:rFonts w:cs="Arial"/>
          <w:szCs w:val="24"/>
        </w:rPr>
      </w:pPr>
      <w:r>
        <w:rPr>
          <w:rFonts w:cs="Arial"/>
          <w:szCs w:val="24"/>
        </w:rPr>
        <w:t>San Diego COE Equity Lead began</w:t>
      </w:r>
      <w:r w:rsidRPr="00AC391D">
        <w:rPr>
          <w:rFonts w:cs="Arial"/>
          <w:szCs w:val="24"/>
        </w:rPr>
        <w:t xml:space="preserve"> </w:t>
      </w:r>
      <w:r>
        <w:rPr>
          <w:rFonts w:cs="Arial"/>
          <w:szCs w:val="24"/>
        </w:rPr>
        <w:t>with a needs assessment by conducting equity audits for each of their four partnering schools</w:t>
      </w:r>
      <w:r w:rsidRPr="00AC391D">
        <w:rPr>
          <w:rFonts w:cs="Arial"/>
          <w:szCs w:val="24"/>
        </w:rPr>
        <w:t xml:space="preserve">. </w:t>
      </w:r>
      <w:r>
        <w:rPr>
          <w:rFonts w:cs="Arial"/>
          <w:szCs w:val="24"/>
        </w:rPr>
        <w:t xml:space="preserve">The equity team partnered with the </w:t>
      </w:r>
      <w:r w:rsidRPr="00AC391D">
        <w:rPr>
          <w:rFonts w:cs="Arial"/>
          <w:szCs w:val="24"/>
        </w:rPr>
        <w:lastRenderedPageBreak/>
        <w:t>National Center for Urban School Transformation (NCUST)</w:t>
      </w:r>
      <w:r>
        <w:rPr>
          <w:rFonts w:cs="Arial"/>
          <w:szCs w:val="24"/>
        </w:rPr>
        <w:t xml:space="preserve"> to assist them in guiding such audits. The NCUST </w:t>
      </w:r>
      <w:r w:rsidRPr="00AC391D">
        <w:rPr>
          <w:rFonts w:cs="Arial"/>
          <w:szCs w:val="24"/>
        </w:rPr>
        <w:t xml:space="preserve">and San Diego </w:t>
      </w:r>
      <w:r>
        <w:rPr>
          <w:rFonts w:cs="Arial"/>
          <w:szCs w:val="24"/>
        </w:rPr>
        <w:t xml:space="preserve">COE </w:t>
      </w:r>
      <w:r w:rsidRPr="00AC391D">
        <w:rPr>
          <w:rFonts w:cs="Arial"/>
          <w:szCs w:val="24"/>
        </w:rPr>
        <w:t>staff conduct</w:t>
      </w:r>
      <w:r>
        <w:rPr>
          <w:rFonts w:cs="Arial"/>
          <w:szCs w:val="24"/>
        </w:rPr>
        <w:t>ed</w:t>
      </w:r>
      <w:r w:rsidRPr="00AC391D">
        <w:rPr>
          <w:rFonts w:cs="Arial"/>
          <w:szCs w:val="24"/>
        </w:rPr>
        <w:t xml:space="preserve"> observations of the school’s classrooms, hallways, social areas, and general school environment.</w:t>
      </w:r>
      <w:r>
        <w:rPr>
          <w:rFonts w:cs="Arial"/>
          <w:szCs w:val="24"/>
        </w:rPr>
        <w:t xml:space="preserve"> </w:t>
      </w:r>
      <w:r w:rsidRPr="00AC391D">
        <w:rPr>
          <w:rFonts w:cs="Arial"/>
          <w:szCs w:val="24"/>
        </w:rPr>
        <w:t>Classroom visits last</w:t>
      </w:r>
      <w:r>
        <w:rPr>
          <w:rFonts w:cs="Arial"/>
          <w:szCs w:val="24"/>
        </w:rPr>
        <w:t>ed approximately 10</w:t>
      </w:r>
      <w:r w:rsidR="00E90E51">
        <w:rPr>
          <w:rFonts w:cs="Arial"/>
          <w:szCs w:val="24"/>
        </w:rPr>
        <w:t xml:space="preserve"> to</w:t>
      </w:r>
      <w:r w:rsidR="008D2289">
        <w:rPr>
          <w:rFonts w:cs="Arial"/>
          <w:szCs w:val="24"/>
        </w:rPr>
        <w:t xml:space="preserve"> </w:t>
      </w:r>
      <w:r w:rsidRPr="00AC391D">
        <w:rPr>
          <w:rFonts w:cs="Arial"/>
          <w:szCs w:val="24"/>
        </w:rPr>
        <w:t>15 minutes. Observers use</w:t>
      </w:r>
      <w:r>
        <w:rPr>
          <w:rFonts w:cs="Arial"/>
          <w:szCs w:val="24"/>
        </w:rPr>
        <w:t>d</w:t>
      </w:r>
      <w:r w:rsidRPr="00AC391D">
        <w:rPr>
          <w:rFonts w:cs="Arial"/>
          <w:szCs w:val="24"/>
        </w:rPr>
        <w:t xml:space="preserve"> a classroom observation</w:t>
      </w:r>
      <w:r>
        <w:rPr>
          <w:rFonts w:cs="Arial"/>
          <w:szCs w:val="24"/>
        </w:rPr>
        <w:t xml:space="preserve"> </w:t>
      </w:r>
      <w:r w:rsidRPr="00AC391D">
        <w:rPr>
          <w:rFonts w:cs="Arial"/>
          <w:szCs w:val="24"/>
        </w:rPr>
        <w:t>protocol to document the number and demographics of students, part of the lesson observed, and</w:t>
      </w:r>
      <w:r>
        <w:rPr>
          <w:rFonts w:cs="Arial"/>
          <w:szCs w:val="24"/>
        </w:rPr>
        <w:t xml:space="preserve"> </w:t>
      </w:r>
      <w:r w:rsidRPr="00AC391D">
        <w:rPr>
          <w:rFonts w:cs="Arial"/>
          <w:szCs w:val="24"/>
        </w:rPr>
        <w:t>cognitive demand of the activity students were primarily engaged in during the course of the observation.</w:t>
      </w:r>
      <w:r>
        <w:rPr>
          <w:rFonts w:cs="Arial"/>
          <w:szCs w:val="24"/>
        </w:rPr>
        <w:t xml:space="preserve"> </w:t>
      </w:r>
      <w:r w:rsidRPr="00AC391D">
        <w:rPr>
          <w:rFonts w:cs="Arial"/>
          <w:szCs w:val="24"/>
        </w:rPr>
        <w:t>In addition, they collect</w:t>
      </w:r>
      <w:r>
        <w:rPr>
          <w:rFonts w:cs="Arial"/>
          <w:szCs w:val="24"/>
        </w:rPr>
        <w:t>ed</w:t>
      </w:r>
      <w:r w:rsidRPr="00AC391D">
        <w:rPr>
          <w:rFonts w:cs="Arial"/>
          <w:szCs w:val="24"/>
        </w:rPr>
        <w:t xml:space="preserve"> evidence of key practices that address</w:t>
      </w:r>
      <w:r>
        <w:rPr>
          <w:rFonts w:cs="Arial"/>
          <w:szCs w:val="24"/>
        </w:rPr>
        <w:t>ed</w:t>
      </w:r>
      <w:r w:rsidRPr="00AC391D">
        <w:rPr>
          <w:rFonts w:cs="Arial"/>
          <w:szCs w:val="24"/>
        </w:rPr>
        <w:t xml:space="preserve"> classroom climate and culture,</w:t>
      </w:r>
      <w:r>
        <w:rPr>
          <w:rFonts w:cs="Arial"/>
          <w:szCs w:val="24"/>
        </w:rPr>
        <w:t xml:space="preserve"> </w:t>
      </w:r>
      <w:r w:rsidRPr="00AC391D">
        <w:rPr>
          <w:rFonts w:cs="Arial"/>
          <w:szCs w:val="24"/>
        </w:rPr>
        <w:t>teacher clarity, and student engagement, understanding, and mastery.</w:t>
      </w:r>
    </w:p>
    <w:p w14:paraId="51B8D551" w14:textId="77777777" w:rsidR="000664BA" w:rsidRPr="00AC391D" w:rsidRDefault="000664BA" w:rsidP="00511C18">
      <w:pPr>
        <w:spacing w:before="240" w:after="240"/>
        <w:rPr>
          <w:rFonts w:cs="Arial"/>
          <w:szCs w:val="24"/>
        </w:rPr>
      </w:pPr>
      <w:r w:rsidRPr="00AC391D">
        <w:rPr>
          <w:rFonts w:cs="Arial"/>
          <w:szCs w:val="24"/>
        </w:rPr>
        <w:t>In addition to the school and classroom o</w:t>
      </w:r>
      <w:r>
        <w:rPr>
          <w:rFonts w:cs="Arial"/>
          <w:szCs w:val="24"/>
        </w:rPr>
        <w:t>bservations, the team interviewed</w:t>
      </w:r>
      <w:r w:rsidRPr="00AC391D">
        <w:rPr>
          <w:rFonts w:cs="Arial"/>
          <w:szCs w:val="24"/>
        </w:rPr>
        <w:t xml:space="preserve"> the school principal, assistant</w:t>
      </w:r>
      <w:r>
        <w:rPr>
          <w:rFonts w:cs="Arial"/>
          <w:szCs w:val="24"/>
        </w:rPr>
        <w:t xml:space="preserve"> </w:t>
      </w:r>
      <w:r w:rsidRPr="00AC391D">
        <w:rPr>
          <w:rFonts w:cs="Arial"/>
          <w:szCs w:val="24"/>
        </w:rPr>
        <w:t>principals, and conduct</w:t>
      </w:r>
      <w:r>
        <w:rPr>
          <w:rFonts w:cs="Arial"/>
          <w:szCs w:val="24"/>
        </w:rPr>
        <w:t>ed</w:t>
      </w:r>
      <w:r w:rsidRPr="00AC391D">
        <w:rPr>
          <w:rFonts w:cs="Arial"/>
          <w:szCs w:val="24"/>
        </w:rPr>
        <w:t xml:space="preserve"> various focus groups, including staff, teachers, students, and parents.</w:t>
      </w:r>
      <w:r>
        <w:rPr>
          <w:rFonts w:cs="Arial"/>
          <w:szCs w:val="24"/>
        </w:rPr>
        <w:t xml:space="preserve"> </w:t>
      </w:r>
      <w:r w:rsidRPr="00AC391D">
        <w:rPr>
          <w:rFonts w:cs="Arial"/>
          <w:szCs w:val="24"/>
        </w:rPr>
        <w:t>They use</w:t>
      </w:r>
      <w:r>
        <w:rPr>
          <w:rFonts w:cs="Arial"/>
          <w:szCs w:val="24"/>
        </w:rPr>
        <w:t>d</w:t>
      </w:r>
      <w:r w:rsidRPr="00AC391D">
        <w:rPr>
          <w:rFonts w:cs="Arial"/>
          <w:szCs w:val="24"/>
        </w:rPr>
        <w:t xml:space="preserve"> standard protocols and include</w:t>
      </w:r>
      <w:r>
        <w:rPr>
          <w:rFonts w:cs="Arial"/>
          <w:szCs w:val="24"/>
        </w:rPr>
        <w:t>d</w:t>
      </w:r>
      <w:r w:rsidRPr="00AC391D">
        <w:rPr>
          <w:rFonts w:cs="Arial"/>
          <w:szCs w:val="24"/>
        </w:rPr>
        <w:t xml:space="preserve"> open-ended questions relevant to the expertise of the participants.</w:t>
      </w:r>
      <w:r>
        <w:rPr>
          <w:rFonts w:cs="Arial"/>
          <w:szCs w:val="24"/>
        </w:rPr>
        <w:t xml:space="preserve"> </w:t>
      </w:r>
      <w:r w:rsidRPr="00AC391D">
        <w:rPr>
          <w:rFonts w:cs="Arial"/>
          <w:szCs w:val="24"/>
        </w:rPr>
        <w:t>Generally, they ask</w:t>
      </w:r>
      <w:r>
        <w:rPr>
          <w:rFonts w:cs="Arial"/>
          <w:szCs w:val="24"/>
        </w:rPr>
        <w:t>ed</w:t>
      </w:r>
      <w:r w:rsidRPr="00AC391D">
        <w:rPr>
          <w:rFonts w:cs="Arial"/>
          <w:szCs w:val="24"/>
        </w:rPr>
        <w:t xml:space="preserve"> participants about their roles and responsibilities, experiences at school,</w:t>
      </w:r>
      <w:r>
        <w:rPr>
          <w:rFonts w:cs="Arial"/>
          <w:szCs w:val="24"/>
        </w:rPr>
        <w:t xml:space="preserve"> </w:t>
      </w:r>
      <w:r w:rsidRPr="00AC391D">
        <w:rPr>
          <w:rFonts w:cs="Arial"/>
          <w:szCs w:val="24"/>
        </w:rPr>
        <w:t>and their opinions about strengths and needs to improve teaching and learning.</w:t>
      </w:r>
    </w:p>
    <w:p w14:paraId="3ADC66A8" w14:textId="77777777" w:rsidR="000664BA" w:rsidRPr="00FE5121" w:rsidRDefault="000664BA" w:rsidP="00511C18">
      <w:pPr>
        <w:spacing w:before="240" w:after="240"/>
        <w:rPr>
          <w:rFonts w:cs="Arial"/>
          <w:szCs w:val="24"/>
        </w:rPr>
      </w:pPr>
      <w:r w:rsidRPr="00AC391D">
        <w:rPr>
          <w:rFonts w:cs="Arial"/>
          <w:szCs w:val="24"/>
        </w:rPr>
        <w:t>Prior</w:t>
      </w:r>
      <w:r>
        <w:rPr>
          <w:rFonts w:cs="Arial"/>
          <w:szCs w:val="24"/>
        </w:rPr>
        <w:t xml:space="preserve"> to the visits, the equity team examined</w:t>
      </w:r>
      <w:r w:rsidRPr="00AC391D">
        <w:rPr>
          <w:rFonts w:cs="Arial"/>
          <w:szCs w:val="24"/>
        </w:rPr>
        <w:t xml:space="preserve"> school artifact</w:t>
      </w:r>
      <w:r>
        <w:rPr>
          <w:rFonts w:cs="Arial"/>
          <w:szCs w:val="24"/>
        </w:rPr>
        <w:t>s</w:t>
      </w:r>
      <w:r w:rsidRPr="00AC391D">
        <w:rPr>
          <w:rFonts w:cs="Arial"/>
          <w:szCs w:val="24"/>
        </w:rPr>
        <w:t xml:space="preserve"> such as master schedules, bell schedules, curriculum,</w:t>
      </w:r>
      <w:r>
        <w:rPr>
          <w:rFonts w:cs="Arial"/>
          <w:szCs w:val="24"/>
        </w:rPr>
        <w:t xml:space="preserve"> </w:t>
      </w:r>
      <w:r w:rsidRPr="00AC391D">
        <w:rPr>
          <w:rFonts w:cs="Arial"/>
          <w:szCs w:val="24"/>
        </w:rPr>
        <w:t>school profiles, and reports (e.g., the School Accountability Report Card, California Dashboard</w:t>
      </w:r>
      <w:r>
        <w:rPr>
          <w:rFonts w:cs="Arial"/>
          <w:szCs w:val="24"/>
        </w:rPr>
        <w:t xml:space="preserve"> </w:t>
      </w:r>
      <w:r w:rsidRPr="00AC391D">
        <w:rPr>
          <w:rFonts w:cs="Arial"/>
          <w:szCs w:val="24"/>
        </w:rPr>
        <w:t>data and other relevant publicly available data) to understand the current status of the school. They</w:t>
      </w:r>
      <w:r>
        <w:rPr>
          <w:rFonts w:cs="Arial"/>
          <w:szCs w:val="24"/>
        </w:rPr>
        <w:t xml:space="preserve"> </w:t>
      </w:r>
      <w:r w:rsidRPr="00FE5121">
        <w:rPr>
          <w:rFonts w:cs="Arial"/>
          <w:szCs w:val="24"/>
        </w:rPr>
        <w:t>endeavor</w:t>
      </w:r>
      <w:r>
        <w:rPr>
          <w:rFonts w:cs="Arial"/>
          <w:szCs w:val="24"/>
        </w:rPr>
        <w:t>ed</w:t>
      </w:r>
      <w:r w:rsidRPr="00FE5121">
        <w:rPr>
          <w:rFonts w:cs="Arial"/>
          <w:szCs w:val="24"/>
        </w:rPr>
        <w:t xml:space="preserve"> to understand student achievement data for all groups of students attending the school over</w:t>
      </w:r>
      <w:r>
        <w:rPr>
          <w:rFonts w:cs="Arial"/>
          <w:szCs w:val="24"/>
        </w:rPr>
        <w:t xml:space="preserve"> </w:t>
      </w:r>
      <w:r w:rsidRPr="00FE5121">
        <w:rPr>
          <w:rFonts w:cs="Arial"/>
          <w:szCs w:val="24"/>
        </w:rPr>
        <w:t>the past few years, as well as patterns in graduation, discipline rates, and college and career readiness.</w:t>
      </w:r>
    </w:p>
    <w:p w14:paraId="345B19E4" w14:textId="5F8F1AE4" w:rsidR="000664BA" w:rsidRDefault="000664BA" w:rsidP="00511C18">
      <w:pPr>
        <w:spacing w:before="240" w:after="240"/>
        <w:rPr>
          <w:rFonts w:cs="Arial"/>
          <w:szCs w:val="24"/>
        </w:rPr>
      </w:pPr>
      <w:r w:rsidRPr="00FE5121">
        <w:rPr>
          <w:rFonts w:cs="Arial"/>
          <w:szCs w:val="24"/>
        </w:rPr>
        <w:t>Upon completion of the site visit</w:t>
      </w:r>
      <w:r>
        <w:rPr>
          <w:rFonts w:cs="Arial"/>
          <w:szCs w:val="24"/>
        </w:rPr>
        <w:t>s</w:t>
      </w:r>
      <w:r w:rsidRPr="00FE5121">
        <w:rPr>
          <w:rFonts w:cs="Arial"/>
          <w:szCs w:val="24"/>
        </w:rPr>
        <w:t>, the tea</w:t>
      </w:r>
      <w:r>
        <w:rPr>
          <w:rFonts w:cs="Arial"/>
          <w:szCs w:val="24"/>
        </w:rPr>
        <w:t>m examined the data collected, identified</w:t>
      </w:r>
      <w:r w:rsidRPr="00FE5121">
        <w:rPr>
          <w:rFonts w:cs="Arial"/>
          <w:szCs w:val="24"/>
        </w:rPr>
        <w:t xml:space="preserve"> key themes, and</w:t>
      </w:r>
      <w:r>
        <w:rPr>
          <w:rFonts w:cs="Arial"/>
          <w:szCs w:val="24"/>
        </w:rPr>
        <w:t xml:space="preserve"> </w:t>
      </w:r>
      <w:r w:rsidRPr="00FE5121">
        <w:rPr>
          <w:rFonts w:cs="Arial"/>
          <w:szCs w:val="24"/>
        </w:rPr>
        <w:t>benchmark</w:t>
      </w:r>
      <w:r>
        <w:rPr>
          <w:rFonts w:cs="Arial"/>
          <w:szCs w:val="24"/>
        </w:rPr>
        <w:t>ed</w:t>
      </w:r>
      <w:r w:rsidRPr="00FE5121">
        <w:rPr>
          <w:rFonts w:cs="Arial"/>
          <w:szCs w:val="24"/>
        </w:rPr>
        <w:t xml:space="preserve"> the school’s practices and systems against the NCUST high-performing school standard</w:t>
      </w:r>
      <w:r>
        <w:rPr>
          <w:rFonts w:cs="Arial"/>
          <w:szCs w:val="24"/>
        </w:rPr>
        <w:t>s (</w:t>
      </w:r>
      <w:r>
        <w:t>Johnson,</w:t>
      </w:r>
      <w:r w:rsidR="00AF3383">
        <w:t xml:space="preserve"> Jr.,</w:t>
      </w:r>
      <w:r>
        <w:t xml:space="preserve"> </w:t>
      </w:r>
      <w:r w:rsidR="001A5991">
        <w:t>Uline, and Perez</w:t>
      </w:r>
      <w:r>
        <w:t xml:space="preserve"> 2017, </w:t>
      </w:r>
      <w:proofErr w:type="spellStart"/>
      <w:r w:rsidR="001A5991">
        <w:rPr>
          <w:rFonts w:cs="Arial"/>
          <w:szCs w:val="24"/>
        </w:rPr>
        <w:t>Theokas</w:t>
      </w:r>
      <w:proofErr w:type="spellEnd"/>
      <w:r w:rsidR="001A5991">
        <w:rPr>
          <w:rFonts w:cs="Arial"/>
          <w:szCs w:val="24"/>
        </w:rPr>
        <w:t>, Gonzalez, Manriquez, and Johnson</w:t>
      </w:r>
      <w:r w:rsidR="00AF3383">
        <w:rPr>
          <w:rFonts w:cs="Arial"/>
          <w:szCs w:val="24"/>
        </w:rPr>
        <w:t>, Jr.</w:t>
      </w:r>
      <w:r>
        <w:rPr>
          <w:rFonts w:cs="Arial"/>
          <w:szCs w:val="24"/>
        </w:rPr>
        <w:t xml:space="preserve"> 2018)</w:t>
      </w:r>
      <w:r w:rsidRPr="00FE5121">
        <w:rPr>
          <w:rFonts w:cs="Arial"/>
          <w:szCs w:val="24"/>
        </w:rPr>
        <w:t>.</w:t>
      </w:r>
      <w:r>
        <w:rPr>
          <w:rFonts w:cs="Arial"/>
          <w:szCs w:val="24"/>
        </w:rPr>
        <w:t xml:space="preserve"> </w:t>
      </w:r>
      <w:r w:rsidRPr="00FE5121">
        <w:rPr>
          <w:rFonts w:cs="Arial"/>
          <w:szCs w:val="24"/>
        </w:rPr>
        <w:t xml:space="preserve">The </w:t>
      </w:r>
      <w:r>
        <w:rPr>
          <w:rFonts w:cs="Arial"/>
          <w:szCs w:val="24"/>
        </w:rPr>
        <w:t xml:space="preserve">findings from each equity audit were compiled into an </w:t>
      </w:r>
      <w:r w:rsidRPr="00FE5121">
        <w:rPr>
          <w:rFonts w:cs="Arial"/>
          <w:szCs w:val="24"/>
        </w:rPr>
        <w:t>Equi</w:t>
      </w:r>
      <w:r>
        <w:rPr>
          <w:rFonts w:cs="Arial"/>
          <w:szCs w:val="24"/>
        </w:rPr>
        <w:t xml:space="preserve">ty Audit School Report that </w:t>
      </w:r>
      <w:r w:rsidRPr="00FE5121">
        <w:rPr>
          <w:rFonts w:cs="Arial"/>
          <w:szCs w:val="24"/>
        </w:rPr>
        <w:t>reflect</w:t>
      </w:r>
      <w:r>
        <w:rPr>
          <w:rFonts w:cs="Arial"/>
          <w:szCs w:val="24"/>
        </w:rPr>
        <w:t>s</w:t>
      </w:r>
      <w:r w:rsidRPr="00FE5121">
        <w:rPr>
          <w:rFonts w:cs="Arial"/>
          <w:szCs w:val="24"/>
        </w:rPr>
        <w:t xml:space="preserve"> a triangulation of the multiple data sources. </w:t>
      </w:r>
      <w:r>
        <w:rPr>
          <w:rFonts w:cs="Arial"/>
          <w:szCs w:val="24"/>
        </w:rPr>
        <w:t xml:space="preserve">This report was </w:t>
      </w:r>
      <w:r w:rsidRPr="00FE5121">
        <w:rPr>
          <w:rFonts w:cs="Arial"/>
          <w:szCs w:val="24"/>
        </w:rPr>
        <w:t>use</w:t>
      </w:r>
      <w:r>
        <w:rPr>
          <w:rFonts w:cs="Arial"/>
          <w:szCs w:val="24"/>
        </w:rPr>
        <w:t>d during</w:t>
      </w:r>
      <w:r w:rsidRPr="00FE5121">
        <w:rPr>
          <w:rFonts w:cs="Arial"/>
          <w:szCs w:val="24"/>
        </w:rPr>
        <w:t xml:space="preserve"> face-to-face professional learning sessions to determine the</w:t>
      </w:r>
      <w:r>
        <w:rPr>
          <w:rFonts w:cs="Arial"/>
          <w:szCs w:val="24"/>
        </w:rPr>
        <w:t xml:space="preserve"> </w:t>
      </w:r>
      <w:r w:rsidRPr="00FE5121">
        <w:rPr>
          <w:rFonts w:cs="Arial"/>
          <w:szCs w:val="24"/>
        </w:rPr>
        <w:t>root cause of the findings and to plan specific changes to accomplish their aims and remedy their</w:t>
      </w:r>
      <w:r>
        <w:rPr>
          <w:rFonts w:cs="Arial"/>
          <w:szCs w:val="24"/>
        </w:rPr>
        <w:t xml:space="preserve"> </w:t>
      </w:r>
      <w:r w:rsidRPr="00FE5121">
        <w:rPr>
          <w:rFonts w:cs="Arial"/>
          <w:szCs w:val="24"/>
        </w:rPr>
        <w:t>equity challenges.</w:t>
      </w:r>
    </w:p>
    <w:p w14:paraId="25FD1805" w14:textId="77777777" w:rsidR="000664BA" w:rsidRPr="00596943" w:rsidRDefault="000664BA" w:rsidP="00511C18">
      <w:pPr>
        <w:pStyle w:val="Heading5"/>
        <w:rPr>
          <w:b/>
          <w:sz w:val="24"/>
          <w:szCs w:val="24"/>
        </w:rPr>
      </w:pPr>
      <w:r w:rsidRPr="00596943">
        <w:rPr>
          <w:b/>
          <w:sz w:val="24"/>
          <w:szCs w:val="24"/>
        </w:rPr>
        <w:t>Face-to-Face Professional Learning</w:t>
      </w:r>
    </w:p>
    <w:p w14:paraId="798F49A3" w14:textId="77777777" w:rsidR="000664BA" w:rsidRDefault="000664BA" w:rsidP="00511C18">
      <w:pPr>
        <w:spacing w:before="240" w:after="240"/>
        <w:rPr>
          <w:rFonts w:cs="Arial"/>
          <w:szCs w:val="24"/>
        </w:rPr>
      </w:pPr>
      <w:r w:rsidRPr="00FE5121">
        <w:rPr>
          <w:rFonts w:cs="Arial"/>
          <w:szCs w:val="24"/>
        </w:rPr>
        <w:t>In addition to the structured needs asses</w:t>
      </w:r>
      <w:r>
        <w:rPr>
          <w:rFonts w:cs="Arial"/>
          <w:szCs w:val="24"/>
        </w:rPr>
        <w:t>sment process, the San Diego COE Equity Lead facilitated</w:t>
      </w:r>
      <w:r w:rsidRPr="00FE5121">
        <w:rPr>
          <w:rFonts w:cs="Arial"/>
          <w:szCs w:val="24"/>
        </w:rPr>
        <w:t xml:space="preserve"> learning sessions organized</w:t>
      </w:r>
      <w:r>
        <w:rPr>
          <w:rFonts w:cs="Arial"/>
          <w:szCs w:val="24"/>
        </w:rPr>
        <w:t xml:space="preserve"> </w:t>
      </w:r>
      <w:r w:rsidRPr="00FE5121">
        <w:rPr>
          <w:rFonts w:cs="Arial"/>
          <w:szCs w:val="24"/>
        </w:rPr>
        <w:t>around key equity concepts, including implicit bias, systemic oppression, and culturally responsive</w:t>
      </w:r>
      <w:r>
        <w:rPr>
          <w:rFonts w:cs="Arial"/>
          <w:szCs w:val="24"/>
        </w:rPr>
        <w:t xml:space="preserve"> </w:t>
      </w:r>
      <w:r w:rsidRPr="00FE5121">
        <w:rPr>
          <w:rFonts w:cs="Arial"/>
          <w:szCs w:val="24"/>
        </w:rPr>
        <w:t xml:space="preserve">teaching practices, to guide school site teams along their equity journey. </w:t>
      </w:r>
      <w:r>
        <w:rPr>
          <w:rFonts w:cs="Arial"/>
          <w:szCs w:val="24"/>
        </w:rPr>
        <w:t>These face-to-face professional learning sessions included the components listed below:</w:t>
      </w:r>
    </w:p>
    <w:p w14:paraId="0908D98B" w14:textId="77777777" w:rsidR="000664BA" w:rsidRDefault="000664BA" w:rsidP="00511C18">
      <w:pPr>
        <w:pStyle w:val="ListParagraph"/>
        <w:numPr>
          <w:ilvl w:val="0"/>
          <w:numId w:val="14"/>
        </w:numPr>
        <w:spacing w:before="240" w:after="240"/>
        <w:rPr>
          <w:rFonts w:cs="Arial"/>
          <w:szCs w:val="24"/>
        </w:rPr>
      </w:pPr>
      <w:r>
        <w:rPr>
          <w:rFonts w:cs="Arial"/>
          <w:szCs w:val="24"/>
        </w:rPr>
        <w:t>Cultural competence</w:t>
      </w:r>
    </w:p>
    <w:p w14:paraId="338E6F8E" w14:textId="77777777" w:rsidR="000664BA" w:rsidRDefault="000664BA" w:rsidP="00511C18">
      <w:pPr>
        <w:pStyle w:val="ListParagraph"/>
        <w:numPr>
          <w:ilvl w:val="0"/>
          <w:numId w:val="14"/>
        </w:numPr>
        <w:spacing w:before="240" w:after="240"/>
        <w:rPr>
          <w:rFonts w:cs="Arial"/>
          <w:szCs w:val="24"/>
        </w:rPr>
      </w:pPr>
      <w:r>
        <w:rPr>
          <w:rFonts w:cs="Arial"/>
          <w:szCs w:val="24"/>
        </w:rPr>
        <w:t>Teaching practice</w:t>
      </w:r>
    </w:p>
    <w:p w14:paraId="7A5A6E0E" w14:textId="77777777" w:rsidR="000664BA" w:rsidRDefault="000664BA" w:rsidP="00511C18">
      <w:pPr>
        <w:pStyle w:val="ListParagraph"/>
        <w:numPr>
          <w:ilvl w:val="0"/>
          <w:numId w:val="14"/>
        </w:numPr>
        <w:spacing w:before="240" w:after="240"/>
        <w:rPr>
          <w:rFonts w:cs="Arial"/>
          <w:szCs w:val="24"/>
        </w:rPr>
      </w:pPr>
      <w:r>
        <w:rPr>
          <w:rFonts w:cs="Arial"/>
          <w:szCs w:val="24"/>
        </w:rPr>
        <w:t>Leadership practice</w:t>
      </w:r>
    </w:p>
    <w:p w14:paraId="7A3CF642" w14:textId="77777777" w:rsidR="000664BA" w:rsidRDefault="000664BA" w:rsidP="00511C18">
      <w:pPr>
        <w:pStyle w:val="ListParagraph"/>
        <w:numPr>
          <w:ilvl w:val="0"/>
          <w:numId w:val="14"/>
        </w:numPr>
        <w:spacing w:before="240" w:after="240"/>
        <w:rPr>
          <w:rFonts w:cs="Arial"/>
          <w:szCs w:val="24"/>
        </w:rPr>
      </w:pPr>
      <w:r>
        <w:rPr>
          <w:rFonts w:cs="Arial"/>
          <w:szCs w:val="24"/>
        </w:rPr>
        <w:lastRenderedPageBreak/>
        <w:t>L</w:t>
      </w:r>
      <w:r w:rsidRPr="00FE5121">
        <w:rPr>
          <w:rFonts w:cs="Arial"/>
          <w:szCs w:val="24"/>
        </w:rPr>
        <w:t>eadership efficacy</w:t>
      </w:r>
    </w:p>
    <w:p w14:paraId="0FC046D4" w14:textId="77777777" w:rsidR="000664BA" w:rsidRDefault="000664BA" w:rsidP="00511C18">
      <w:pPr>
        <w:pStyle w:val="ListParagraph"/>
        <w:numPr>
          <w:ilvl w:val="0"/>
          <w:numId w:val="14"/>
        </w:numPr>
        <w:spacing w:before="240" w:after="240"/>
        <w:rPr>
          <w:rFonts w:cs="Arial"/>
          <w:szCs w:val="24"/>
        </w:rPr>
      </w:pPr>
      <w:r>
        <w:rPr>
          <w:rFonts w:cs="Arial"/>
          <w:szCs w:val="24"/>
        </w:rPr>
        <w:t>C</w:t>
      </w:r>
      <w:r w:rsidRPr="00FE5121">
        <w:rPr>
          <w:rFonts w:cs="Arial"/>
          <w:szCs w:val="24"/>
        </w:rPr>
        <w:t>ommunication</w:t>
      </w:r>
    </w:p>
    <w:p w14:paraId="5E69E870" w14:textId="77777777" w:rsidR="000664BA" w:rsidRDefault="000664BA" w:rsidP="00511C18">
      <w:pPr>
        <w:pStyle w:val="ListParagraph"/>
        <w:numPr>
          <w:ilvl w:val="0"/>
          <w:numId w:val="14"/>
        </w:numPr>
        <w:spacing w:before="240" w:after="240"/>
        <w:rPr>
          <w:rFonts w:cs="Arial"/>
          <w:szCs w:val="24"/>
        </w:rPr>
      </w:pPr>
      <w:r>
        <w:rPr>
          <w:rFonts w:cs="Arial"/>
          <w:szCs w:val="24"/>
        </w:rPr>
        <w:t>Equity studies</w:t>
      </w:r>
    </w:p>
    <w:p w14:paraId="2006FE16" w14:textId="77777777" w:rsidR="000664BA" w:rsidRDefault="000664BA" w:rsidP="00511C18">
      <w:pPr>
        <w:pStyle w:val="ListParagraph"/>
        <w:numPr>
          <w:ilvl w:val="0"/>
          <w:numId w:val="14"/>
        </w:numPr>
        <w:spacing w:before="240" w:after="240"/>
        <w:rPr>
          <w:rFonts w:cs="Arial"/>
          <w:szCs w:val="24"/>
        </w:rPr>
      </w:pPr>
      <w:r>
        <w:rPr>
          <w:rFonts w:cs="Arial"/>
          <w:szCs w:val="24"/>
        </w:rPr>
        <w:t>Understanding the problem</w:t>
      </w:r>
    </w:p>
    <w:p w14:paraId="474E4CF6" w14:textId="77777777" w:rsidR="000664BA" w:rsidRDefault="000664BA" w:rsidP="00511C18">
      <w:pPr>
        <w:pStyle w:val="ListParagraph"/>
        <w:numPr>
          <w:ilvl w:val="0"/>
          <w:numId w:val="14"/>
        </w:numPr>
        <w:spacing w:before="240" w:after="240"/>
        <w:rPr>
          <w:rFonts w:cs="Arial"/>
          <w:szCs w:val="24"/>
        </w:rPr>
      </w:pPr>
      <w:r>
        <w:rPr>
          <w:rFonts w:cs="Arial"/>
          <w:szCs w:val="24"/>
        </w:rPr>
        <w:t>Change process</w:t>
      </w:r>
    </w:p>
    <w:p w14:paraId="21EB5156" w14:textId="77777777" w:rsidR="000664BA" w:rsidRDefault="000664BA" w:rsidP="00511C18">
      <w:pPr>
        <w:pStyle w:val="ListParagraph"/>
        <w:numPr>
          <w:ilvl w:val="0"/>
          <w:numId w:val="14"/>
        </w:numPr>
        <w:spacing w:before="240" w:after="240"/>
        <w:rPr>
          <w:rFonts w:cs="Arial"/>
          <w:szCs w:val="24"/>
        </w:rPr>
      </w:pPr>
      <w:r>
        <w:rPr>
          <w:rFonts w:cs="Arial"/>
          <w:szCs w:val="24"/>
        </w:rPr>
        <w:t>Convening</w:t>
      </w:r>
    </w:p>
    <w:p w14:paraId="5B9C0D28" w14:textId="77777777" w:rsidR="000664BA" w:rsidRPr="00C711C2" w:rsidRDefault="000664BA" w:rsidP="00511C18">
      <w:pPr>
        <w:pStyle w:val="Heading5"/>
        <w:rPr>
          <w:b/>
          <w:sz w:val="24"/>
          <w:szCs w:val="24"/>
        </w:rPr>
      </w:pPr>
      <w:r w:rsidRPr="00C711C2">
        <w:rPr>
          <w:b/>
          <w:sz w:val="24"/>
          <w:szCs w:val="24"/>
        </w:rPr>
        <w:t>Continuous Improvement Action Periods</w:t>
      </w:r>
    </w:p>
    <w:p w14:paraId="0CB1AB39" w14:textId="77777777" w:rsidR="000664BA" w:rsidRDefault="000664BA" w:rsidP="00511C18">
      <w:pPr>
        <w:spacing w:before="240" w:after="240"/>
        <w:rPr>
          <w:rFonts w:cs="Arial"/>
          <w:szCs w:val="24"/>
        </w:rPr>
      </w:pPr>
      <w:r>
        <w:rPr>
          <w:rFonts w:cs="Arial"/>
          <w:szCs w:val="24"/>
        </w:rPr>
        <w:t xml:space="preserve">The San Diego COE Equity Lead applied </w:t>
      </w:r>
      <w:r w:rsidRPr="00FE5121">
        <w:rPr>
          <w:rFonts w:cs="Arial"/>
          <w:szCs w:val="24"/>
        </w:rPr>
        <w:t>the continuous improvement process</w:t>
      </w:r>
      <w:r>
        <w:rPr>
          <w:rFonts w:cs="Arial"/>
          <w:szCs w:val="24"/>
        </w:rPr>
        <w:t xml:space="preserve"> in its equity journey</w:t>
      </w:r>
      <w:r w:rsidRPr="00FE5121">
        <w:rPr>
          <w:rFonts w:cs="Arial"/>
          <w:szCs w:val="24"/>
        </w:rPr>
        <w:t xml:space="preserve">. </w:t>
      </w:r>
      <w:r>
        <w:rPr>
          <w:rFonts w:cs="Arial"/>
          <w:szCs w:val="24"/>
        </w:rPr>
        <w:t>The San Diego COE Equity Lead facilitated</w:t>
      </w:r>
      <w:r w:rsidRPr="00FE5121">
        <w:rPr>
          <w:rFonts w:cs="Arial"/>
          <w:szCs w:val="24"/>
        </w:rPr>
        <w:t xml:space="preserve"> three to six structured sessions using a</w:t>
      </w:r>
      <w:r>
        <w:rPr>
          <w:rFonts w:cs="Arial"/>
          <w:szCs w:val="24"/>
        </w:rPr>
        <w:t xml:space="preserve"> </w:t>
      </w:r>
      <w:r w:rsidRPr="00FE5121">
        <w:rPr>
          <w:rFonts w:cs="Arial"/>
          <w:szCs w:val="24"/>
        </w:rPr>
        <w:t>disciplined methodology for testing changes. Participants follow</w:t>
      </w:r>
      <w:r>
        <w:rPr>
          <w:rFonts w:cs="Arial"/>
          <w:szCs w:val="24"/>
        </w:rPr>
        <w:t>ed</w:t>
      </w:r>
      <w:r w:rsidRPr="00FE5121">
        <w:rPr>
          <w:rFonts w:cs="Arial"/>
          <w:szCs w:val="24"/>
        </w:rPr>
        <w:t xml:space="preserve"> four steps described by Edwards</w:t>
      </w:r>
      <w:r>
        <w:rPr>
          <w:rFonts w:cs="Arial"/>
          <w:szCs w:val="24"/>
        </w:rPr>
        <w:t xml:space="preserve"> </w:t>
      </w:r>
      <w:r w:rsidRPr="00FE5121">
        <w:rPr>
          <w:rFonts w:cs="Arial"/>
          <w:szCs w:val="24"/>
        </w:rPr>
        <w:t>Deming as the Plan Do Study Act Cycle (PDSA)</w:t>
      </w:r>
      <w:r w:rsidR="001A5991">
        <w:rPr>
          <w:rFonts w:cs="Arial"/>
          <w:szCs w:val="24"/>
        </w:rPr>
        <w:t xml:space="preserve"> (The Deming Institute</w:t>
      </w:r>
      <w:r>
        <w:rPr>
          <w:rFonts w:cs="Arial"/>
          <w:szCs w:val="24"/>
        </w:rPr>
        <w:t xml:space="preserve"> 2019)</w:t>
      </w:r>
      <w:r w:rsidRPr="00FE5121">
        <w:rPr>
          <w:rFonts w:cs="Arial"/>
          <w:szCs w:val="24"/>
        </w:rPr>
        <w:t xml:space="preserve">. The cycle involves </w:t>
      </w:r>
      <w:r>
        <w:rPr>
          <w:rFonts w:cs="Arial"/>
          <w:szCs w:val="24"/>
        </w:rPr>
        <w:t>the following four steps:</w:t>
      </w:r>
    </w:p>
    <w:p w14:paraId="17026E92" w14:textId="77777777" w:rsidR="000664BA" w:rsidRDefault="000664BA" w:rsidP="00511C18">
      <w:pPr>
        <w:pStyle w:val="ListParagraph"/>
        <w:numPr>
          <w:ilvl w:val="0"/>
          <w:numId w:val="15"/>
        </w:numPr>
        <w:spacing w:before="240" w:after="240"/>
        <w:rPr>
          <w:rFonts w:cs="Arial"/>
          <w:szCs w:val="24"/>
        </w:rPr>
      </w:pPr>
      <w:r>
        <w:rPr>
          <w:rFonts w:cs="Arial"/>
          <w:szCs w:val="24"/>
        </w:rPr>
        <w:t>P</w:t>
      </w:r>
      <w:r w:rsidRPr="00BB7E82">
        <w:rPr>
          <w:rFonts w:cs="Arial"/>
          <w:szCs w:val="24"/>
        </w:rPr>
        <w:t>lanning out the change by</w:t>
      </w:r>
      <w:r>
        <w:rPr>
          <w:rFonts w:cs="Arial"/>
          <w:szCs w:val="24"/>
        </w:rPr>
        <w:t xml:space="preserve"> </w:t>
      </w:r>
      <w:r w:rsidRPr="00BB7E82">
        <w:rPr>
          <w:rFonts w:cs="Arial"/>
          <w:szCs w:val="24"/>
        </w:rPr>
        <w:t>developing questions they seek to answer and making predi</w:t>
      </w:r>
      <w:r>
        <w:rPr>
          <w:rFonts w:cs="Arial"/>
          <w:szCs w:val="24"/>
        </w:rPr>
        <w:t>ctions around the results</w:t>
      </w:r>
    </w:p>
    <w:p w14:paraId="535887BE" w14:textId="77777777" w:rsidR="000664BA" w:rsidRDefault="000664BA" w:rsidP="00511C18">
      <w:pPr>
        <w:pStyle w:val="ListParagraph"/>
        <w:numPr>
          <w:ilvl w:val="0"/>
          <w:numId w:val="15"/>
        </w:numPr>
        <w:spacing w:before="240" w:after="240"/>
        <w:rPr>
          <w:rFonts w:cs="Arial"/>
          <w:szCs w:val="24"/>
        </w:rPr>
      </w:pPr>
      <w:r w:rsidRPr="00BB7E82">
        <w:rPr>
          <w:rFonts w:cs="Arial"/>
          <w:szCs w:val="24"/>
        </w:rPr>
        <w:t>Collecting dat</w:t>
      </w:r>
      <w:r>
        <w:rPr>
          <w:rFonts w:cs="Arial"/>
          <w:szCs w:val="24"/>
        </w:rPr>
        <w:t>a to answer the questions</w:t>
      </w:r>
    </w:p>
    <w:p w14:paraId="065C606A" w14:textId="77777777" w:rsidR="000664BA" w:rsidRDefault="000664BA" w:rsidP="00511C18">
      <w:pPr>
        <w:pStyle w:val="ListParagraph"/>
        <w:numPr>
          <w:ilvl w:val="0"/>
          <w:numId w:val="15"/>
        </w:numPr>
        <w:spacing w:before="240" w:after="240"/>
        <w:rPr>
          <w:rFonts w:cs="Arial"/>
          <w:szCs w:val="24"/>
        </w:rPr>
      </w:pPr>
      <w:r>
        <w:rPr>
          <w:rFonts w:cs="Arial"/>
          <w:szCs w:val="24"/>
        </w:rPr>
        <w:t>S</w:t>
      </w:r>
      <w:r w:rsidRPr="00BB7E82">
        <w:rPr>
          <w:rFonts w:cs="Arial"/>
          <w:szCs w:val="24"/>
        </w:rPr>
        <w:t>tudying the results and comparing them to the predictions, and</w:t>
      </w:r>
    </w:p>
    <w:p w14:paraId="20EB7490" w14:textId="77777777" w:rsidR="000664BA" w:rsidRDefault="000664BA" w:rsidP="00511C18">
      <w:pPr>
        <w:pStyle w:val="ListParagraph"/>
        <w:numPr>
          <w:ilvl w:val="0"/>
          <w:numId w:val="15"/>
        </w:numPr>
        <w:spacing w:before="240" w:after="240"/>
        <w:rPr>
          <w:rFonts w:cs="Arial"/>
          <w:szCs w:val="24"/>
        </w:rPr>
      </w:pPr>
      <w:r>
        <w:rPr>
          <w:rFonts w:cs="Arial"/>
          <w:szCs w:val="24"/>
        </w:rPr>
        <w:t>M</w:t>
      </w:r>
      <w:r w:rsidRPr="00BB7E82">
        <w:rPr>
          <w:rFonts w:cs="Arial"/>
          <w:szCs w:val="24"/>
        </w:rPr>
        <w:t>aking a decision about whether to adapt, adopt, or am</w:t>
      </w:r>
      <w:r w:rsidR="001A5991">
        <w:rPr>
          <w:rFonts w:cs="Arial"/>
          <w:szCs w:val="24"/>
        </w:rPr>
        <w:t>end the change (Langley, et al.</w:t>
      </w:r>
      <w:r w:rsidRPr="00BB7E82">
        <w:rPr>
          <w:rFonts w:cs="Arial"/>
          <w:szCs w:val="24"/>
        </w:rPr>
        <w:t xml:space="preserve"> 2009).</w:t>
      </w:r>
    </w:p>
    <w:p w14:paraId="03E378AE" w14:textId="77777777" w:rsidR="000664BA" w:rsidRDefault="000664BA" w:rsidP="00511C18">
      <w:pPr>
        <w:spacing w:before="240" w:after="240"/>
        <w:rPr>
          <w:rFonts w:cs="Arial"/>
          <w:szCs w:val="24"/>
        </w:rPr>
      </w:pPr>
      <w:r>
        <w:rPr>
          <w:rFonts w:cs="Arial"/>
          <w:szCs w:val="24"/>
        </w:rPr>
        <w:t>Participants carried</w:t>
      </w:r>
      <w:r w:rsidRPr="00FE5121">
        <w:rPr>
          <w:rFonts w:cs="Arial"/>
          <w:szCs w:val="24"/>
        </w:rPr>
        <w:t xml:space="preserve"> out changes that address</w:t>
      </w:r>
      <w:r>
        <w:rPr>
          <w:rFonts w:cs="Arial"/>
          <w:szCs w:val="24"/>
        </w:rPr>
        <w:t>ed</w:t>
      </w:r>
      <w:r w:rsidRPr="00FE5121">
        <w:rPr>
          <w:rFonts w:cs="Arial"/>
          <w:szCs w:val="24"/>
        </w:rPr>
        <w:t xml:space="preserve"> an equity challenge determined during the</w:t>
      </w:r>
      <w:r>
        <w:rPr>
          <w:rFonts w:cs="Arial"/>
          <w:szCs w:val="24"/>
        </w:rPr>
        <w:t xml:space="preserve"> </w:t>
      </w:r>
      <w:r w:rsidRPr="00FE5121">
        <w:rPr>
          <w:rFonts w:cs="Arial"/>
          <w:szCs w:val="24"/>
        </w:rPr>
        <w:t>root caus</w:t>
      </w:r>
      <w:r>
        <w:rPr>
          <w:rFonts w:cs="Arial"/>
          <w:szCs w:val="24"/>
        </w:rPr>
        <w:t>e analysis</w:t>
      </w:r>
      <w:r w:rsidRPr="00FE5121">
        <w:rPr>
          <w:rFonts w:cs="Arial"/>
          <w:szCs w:val="24"/>
        </w:rPr>
        <w:t>. These changes serve</w:t>
      </w:r>
      <w:r>
        <w:rPr>
          <w:rFonts w:cs="Arial"/>
          <w:szCs w:val="24"/>
        </w:rPr>
        <w:t>d</w:t>
      </w:r>
      <w:r w:rsidRPr="00FE5121">
        <w:rPr>
          <w:rFonts w:cs="Arial"/>
          <w:szCs w:val="24"/>
        </w:rPr>
        <w:t xml:space="preserve"> as the major work for the action period,</w:t>
      </w:r>
      <w:r>
        <w:rPr>
          <w:rFonts w:cs="Arial"/>
          <w:szCs w:val="24"/>
        </w:rPr>
        <w:t xml:space="preserve"> </w:t>
      </w:r>
      <w:r w:rsidRPr="00FE5121">
        <w:rPr>
          <w:rFonts w:cs="Arial"/>
          <w:szCs w:val="24"/>
        </w:rPr>
        <w:t>where groups engage</w:t>
      </w:r>
      <w:r>
        <w:rPr>
          <w:rFonts w:cs="Arial"/>
          <w:szCs w:val="24"/>
        </w:rPr>
        <w:t>d</w:t>
      </w:r>
      <w:r w:rsidRPr="00FE5121">
        <w:rPr>
          <w:rFonts w:cs="Arial"/>
          <w:szCs w:val="24"/>
        </w:rPr>
        <w:t xml:space="preserve"> in the PDSA cycles onsite to test out changes and determine</w:t>
      </w:r>
      <w:r>
        <w:rPr>
          <w:rFonts w:cs="Arial"/>
          <w:szCs w:val="24"/>
        </w:rPr>
        <w:t>d</w:t>
      </w:r>
      <w:r w:rsidRPr="00FE5121">
        <w:rPr>
          <w:rFonts w:cs="Arial"/>
          <w:szCs w:val="24"/>
        </w:rPr>
        <w:t xml:space="preserve"> if those changes</w:t>
      </w:r>
      <w:r>
        <w:rPr>
          <w:rFonts w:cs="Arial"/>
          <w:szCs w:val="24"/>
        </w:rPr>
        <w:t xml:space="preserve"> </w:t>
      </w:r>
      <w:r w:rsidRPr="00FE5121">
        <w:rPr>
          <w:rFonts w:cs="Arial"/>
          <w:szCs w:val="24"/>
        </w:rPr>
        <w:t>lead to improvements in their equity challenge. This structured approach avoid</w:t>
      </w:r>
      <w:r>
        <w:rPr>
          <w:rFonts w:cs="Arial"/>
          <w:szCs w:val="24"/>
        </w:rPr>
        <w:t>ed</w:t>
      </w:r>
      <w:r w:rsidRPr="00FE5121">
        <w:rPr>
          <w:rFonts w:cs="Arial"/>
          <w:szCs w:val="24"/>
        </w:rPr>
        <w:t xml:space="preserve"> traditional ways of</w:t>
      </w:r>
      <w:r>
        <w:rPr>
          <w:rFonts w:cs="Arial"/>
          <w:szCs w:val="24"/>
        </w:rPr>
        <w:t xml:space="preserve"> </w:t>
      </w:r>
      <w:r w:rsidRPr="00FE5121">
        <w:rPr>
          <w:rFonts w:cs="Arial"/>
          <w:szCs w:val="24"/>
        </w:rPr>
        <w:t>making changes in schools, specifically practices that lack a reliable feedback mechanism to know</w:t>
      </w:r>
      <w:r>
        <w:rPr>
          <w:rFonts w:cs="Arial"/>
          <w:szCs w:val="24"/>
        </w:rPr>
        <w:t xml:space="preserve"> </w:t>
      </w:r>
      <w:r w:rsidRPr="00FE5121">
        <w:rPr>
          <w:rFonts w:cs="Arial"/>
          <w:szCs w:val="24"/>
        </w:rPr>
        <w:t xml:space="preserve">if the change made a difference or </w:t>
      </w:r>
      <w:r>
        <w:rPr>
          <w:rFonts w:cs="Arial"/>
          <w:szCs w:val="24"/>
        </w:rPr>
        <w:t xml:space="preserve">if </w:t>
      </w:r>
      <w:r w:rsidRPr="00FE5121">
        <w:rPr>
          <w:rFonts w:cs="Arial"/>
          <w:szCs w:val="24"/>
        </w:rPr>
        <w:t>practices require</w:t>
      </w:r>
      <w:r>
        <w:rPr>
          <w:rFonts w:cs="Arial"/>
          <w:szCs w:val="24"/>
        </w:rPr>
        <w:t>d</w:t>
      </w:r>
      <w:r w:rsidRPr="00FE5121">
        <w:rPr>
          <w:rFonts w:cs="Arial"/>
          <w:szCs w:val="24"/>
        </w:rPr>
        <w:t xml:space="preserve"> more capacity than what sites ha</w:t>
      </w:r>
      <w:r>
        <w:rPr>
          <w:rFonts w:cs="Arial"/>
          <w:szCs w:val="24"/>
        </w:rPr>
        <w:t>d</w:t>
      </w:r>
      <w:r w:rsidRPr="00FE5121">
        <w:rPr>
          <w:rFonts w:cs="Arial"/>
          <w:szCs w:val="24"/>
        </w:rPr>
        <w:t xml:space="preserve"> </w:t>
      </w:r>
      <w:r w:rsidR="004C3CCE">
        <w:rPr>
          <w:rFonts w:cs="Arial"/>
          <w:szCs w:val="24"/>
        </w:rPr>
        <w:t xml:space="preserve">in order to </w:t>
      </w:r>
      <w:r w:rsidRPr="00FE5121">
        <w:rPr>
          <w:rFonts w:cs="Arial"/>
          <w:szCs w:val="24"/>
        </w:rPr>
        <w:t xml:space="preserve">successfully </w:t>
      </w:r>
      <w:r w:rsidR="004C3CCE">
        <w:rPr>
          <w:rFonts w:cs="Arial"/>
          <w:szCs w:val="24"/>
        </w:rPr>
        <w:t xml:space="preserve">be </w:t>
      </w:r>
      <w:r w:rsidRPr="00FE5121">
        <w:rPr>
          <w:rFonts w:cs="Arial"/>
          <w:szCs w:val="24"/>
        </w:rPr>
        <w:t>implemented.</w:t>
      </w:r>
    </w:p>
    <w:p w14:paraId="48995FCF" w14:textId="77777777" w:rsidR="000664BA" w:rsidRPr="00C711C2" w:rsidRDefault="000664BA" w:rsidP="00511C18">
      <w:pPr>
        <w:pStyle w:val="Heading5"/>
        <w:rPr>
          <w:b/>
          <w:sz w:val="24"/>
          <w:szCs w:val="24"/>
        </w:rPr>
      </w:pPr>
      <w:r w:rsidRPr="00C711C2">
        <w:rPr>
          <w:b/>
          <w:sz w:val="24"/>
          <w:szCs w:val="24"/>
        </w:rPr>
        <w:t>Coaching</w:t>
      </w:r>
    </w:p>
    <w:p w14:paraId="3EFD75AB" w14:textId="77777777" w:rsidR="000664BA" w:rsidRPr="00C125BF" w:rsidRDefault="000664BA" w:rsidP="00511C18">
      <w:pPr>
        <w:spacing w:before="240" w:after="240"/>
        <w:rPr>
          <w:rFonts w:cs="Arial"/>
          <w:szCs w:val="24"/>
        </w:rPr>
      </w:pPr>
      <w:r>
        <w:rPr>
          <w:rFonts w:cs="Arial"/>
          <w:szCs w:val="24"/>
        </w:rPr>
        <w:t xml:space="preserve">San Diego COE’s CEPIP provided </w:t>
      </w:r>
      <w:r w:rsidRPr="00C125BF">
        <w:rPr>
          <w:rFonts w:cs="Arial"/>
          <w:szCs w:val="24"/>
        </w:rPr>
        <w:t>wrap around coaching, where equity leadership coaches provide</w:t>
      </w:r>
      <w:r>
        <w:rPr>
          <w:rFonts w:cs="Arial"/>
          <w:szCs w:val="24"/>
        </w:rPr>
        <w:t xml:space="preserve">d </w:t>
      </w:r>
      <w:r w:rsidRPr="00C125BF">
        <w:rPr>
          <w:rFonts w:cs="Arial"/>
          <w:szCs w:val="24"/>
        </w:rPr>
        <w:t xml:space="preserve">direct support to implement the learning and </w:t>
      </w:r>
      <w:r>
        <w:rPr>
          <w:rFonts w:cs="Arial"/>
          <w:szCs w:val="24"/>
        </w:rPr>
        <w:t>c</w:t>
      </w:r>
      <w:r w:rsidRPr="00C125BF">
        <w:rPr>
          <w:rFonts w:cs="Arial"/>
          <w:szCs w:val="24"/>
        </w:rPr>
        <w:t>oncepts</w:t>
      </w:r>
      <w:r>
        <w:rPr>
          <w:rFonts w:cs="Arial"/>
          <w:szCs w:val="24"/>
        </w:rPr>
        <w:t xml:space="preserve"> acquired</w:t>
      </w:r>
      <w:r w:rsidRPr="00C125BF">
        <w:rPr>
          <w:rFonts w:cs="Arial"/>
          <w:szCs w:val="24"/>
        </w:rPr>
        <w:t xml:space="preserve"> during the face</w:t>
      </w:r>
      <w:r w:rsidR="008265F3">
        <w:rPr>
          <w:rFonts w:cs="Arial"/>
          <w:szCs w:val="24"/>
        </w:rPr>
        <w:t>-</w:t>
      </w:r>
      <w:r w:rsidRPr="00C125BF">
        <w:rPr>
          <w:rFonts w:cs="Arial"/>
          <w:szCs w:val="24"/>
        </w:rPr>
        <w:t>to</w:t>
      </w:r>
      <w:r w:rsidR="008265F3">
        <w:rPr>
          <w:rFonts w:cs="Arial"/>
          <w:szCs w:val="24"/>
        </w:rPr>
        <w:t>-</w:t>
      </w:r>
      <w:r w:rsidRPr="00C125BF">
        <w:rPr>
          <w:rFonts w:cs="Arial"/>
          <w:szCs w:val="24"/>
        </w:rPr>
        <w:t>face sessions. During</w:t>
      </w:r>
      <w:r>
        <w:rPr>
          <w:rFonts w:cs="Arial"/>
          <w:szCs w:val="24"/>
        </w:rPr>
        <w:t xml:space="preserve"> </w:t>
      </w:r>
      <w:r w:rsidRPr="00C125BF">
        <w:rPr>
          <w:rFonts w:cs="Arial"/>
          <w:szCs w:val="24"/>
        </w:rPr>
        <w:t>the Continuous Improvemen</w:t>
      </w:r>
      <w:r>
        <w:rPr>
          <w:rFonts w:cs="Arial"/>
          <w:szCs w:val="24"/>
        </w:rPr>
        <w:t>t Process Action Periods, c</w:t>
      </w:r>
      <w:r w:rsidRPr="00C125BF">
        <w:rPr>
          <w:rFonts w:cs="Arial"/>
          <w:szCs w:val="24"/>
        </w:rPr>
        <w:t>oaches’ model</w:t>
      </w:r>
      <w:r>
        <w:rPr>
          <w:rFonts w:cs="Arial"/>
          <w:szCs w:val="24"/>
        </w:rPr>
        <w:t>ed</w:t>
      </w:r>
      <w:r w:rsidRPr="00C125BF">
        <w:rPr>
          <w:rFonts w:cs="Arial"/>
          <w:szCs w:val="24"/>
        </w:rPr>
        <w:t xml:space="preserve"> practices, facilitate</w:t>
      </w:r>
      <w:r>
        <w:rPr>
          <w:rFonts w:cs="Arial"/>
          <w:szCs w:val="24"/>
        </w:rPr>
        <w:t>d</w:t>
      </w:r>
      <w:r w:rsidRPr="00C125BF">
        <w:rPr>
          <w:rFonts w:cs="Arial"/>
          <w:szCs w:val="24"/>
        </w:rPr>
        <w:t xml:space="preserve"> data</w:t>
      </w:r>
      <w:r>
        <w:rPr>
          <w:rFonts w:cs="Arial"/>
          <w:szCs w:val="24"/>
        </w:rPr>
        <w:t xml:space="preserve"> </w:t>
      </w:r>
      <w:r w:rsidRPr="00C125BF">
        <w:rPr>
          <w:rFonts w:cs="Arial"/>
          <w:szCs w:val="24"/>
        </w:rPr>
        <w:t>conversations, observe</w:t>
      </w:r>
      <w:r>
        <w:rPr>
          <w:rFonts w:cs="Arial"/>
          <w:szCs w:val="24"/>
        </w:rPr>
        <w:t>d</w:t>
      </w:r>
      <w:r w:rsidRPr="00C125BF">
        <w:rPr>
          <w:rFonts w:cs="Arial"/>
          <w:szCs w:val="24"/>
        </w:rPr>
        <w:t xml:space="preserve"> changes in practice, and provide</w:t>
      </w:r>
      <w:r>
        <w:rPr>
          <w:rFonts w:cs="Arial"/>
          <w:szCs w:val="24"/>
        </w:rPr>
        <w:t>d</w:t>
      </w:r>
      <w:r w:rsidRPr="00C125BF">
        <w:rPr>
          <w:rFonts w:cs="Arial"/>
          <w:szCs w:val="24"/>
        </w:rPr>
        <w:t xml:space="preserve"> leadership guidance and feedback to sites.</w:t>
      </w:r>
      <w:r>
        <w:rPr>
          <w:rFonts w:cs="Arial"/>
          <w:szCs w:val="24"/>
        </w:rPr>
        <w:t xml:space="preserve"> </w:t>
      </w:r>
      <w:r w:rsidRPr="00C125BF">
        <w:rPr>
          <w:rFonts w:cs="Arial"/>
          <w:szCs w:val="24"/>
        </w:rPr>
        <w:t xml:space="preserve">Coaches </w:t>
      </w:r>
      <w:r w:rsidR="004C3CCE" w:rsidRPr="004C3CCE">
        <w:rPr>
          <w:rFonts w:cs="Arial"/>
          <w:szCs w:val="24"/>
        </w:rPr>
        <w:t xml:space="preserve">served as a point of accountability for the CEPIP </w:t>
      </w:r>
      <w:r w:rsidR="004C3CCE">
        <w:rPr>
          <w:rFonts w:cs="Arial"/>
          <w:szCs w:val="24"/>
        </w:rPr>
        <w:t xml:space="preserve">and </w:t>
      </w:r>
      <w:r w:rsidRPr="00C125BF">
        <w:rPr>
          <w:rFonts w:cs="Arial"/>
          <w:szCs w:val="24"/>
        </w:rPr>
        <w:t>ensure</w:t>
      </w:r>
      <w:r>
        <w:rPr>
          <w:rFonts w:cs="Arial"/>
          <w:szCs w:val="24"/>
        </w:rPr>
        <w:t>d</w:t>
      </w:r>
      <w:r w:rsidRPr="00C125BF">
        <w:rPr>
          <w:rFonts w:cs="Arial"/>
          <w:szCs w:val="24"/>
        </w:rPr>
        <w:t xml:space="preserve"> teams follow</w:t>
      </w:r>
      <w:r>
        <w:rPr>
          <w:rFonts w:cs="Arial"/>
          <w:szCs w:val="24"/>
        </w:rPr>
        <w:t>ed</w:t>
      </w:r>
      <w:r w:rsidRPr="00C125BF">
        <w:rPr>
          <w:rFonts w:cs="Arial"/>
          <w:szCs w:val="24"/>
        </w:rPr>
        <w:t xml:space="preserve"> through with </w:t>
      </w:r>
      <w:r>
        <w:rPr>
          <w:rFonts w:cs="Arial"/>
          <w:szCs w:val="24"/>
        </w:rPr>
        <w:t>their equity plan and interventions.</w:t>
      </w:r>
    </w:p>
    <w:p w14:paraId="1C98096C" w14:textId="77777777" w:rsidR="000664BA" w:rsidRDefault="000664BA" w:rsidP="00511C18">
      <w:pPr>
        <w:spacing w:before="240" w:after="240"/>
        <w:rPr>
          <w:rFonts w:cs="Arial"/>
          <w:szCs w:val="24"/>
        </w:rPr>
      </w:pPr>
      <w:r w:rsidRPr="00C125BF">
        <w:rPr>
          <w:rFonts w:cs="Arial"/>
          <w:szCs w:val="24"/>
        </w:rPr>
        <w:lastRenderedPageBreak/>
        <w:t>The coaching model focuses on six categories to support the Local Improvemen</w:t>
      </w:r>
      <w:r w:rsidR="00A82847">
        <w:rPr>
          <w:rFonts w:cs="Arial"/>
          <w:szCs w:val="24"/>
        </w:rPr>
        <w:t xml:space="preserve">t Teams in </w:t>
      </w:r>
      <w:r w:rsidR="00E469D8">
        <w:rPr>
          <w:rFonts w:cs="Arial"/>
          <w:szCs w:val="24"/>
        </w:rPr>
        <w:t xml:space="preserve">transforming conceptual </w:t>
      </w:r>
      <w:r w:rsidR="00A82847">
        <w:rPr>
          <w:rFonts w:cs="Arial"/>
          <w:szCs w:val="24"/>
        </w:rPr>
        <w:t xml:space="preserve">learning </w:t>
      </w:r>
      <w:r w:rsidR="00E469D8">
        <w:rPr>
          <w:rFonts w:cs="Arial"/>
          <w:szCs w:val="24"/>
        </w:rPr>
        <w:t>in</w:t>
      </w:r>
      <w:r w:rsidR="00A82847">
        <w:rPr>
          <w:rFonts w:cs="Arial"/>
          <w:szCs w:val="24"/>
        </w:rPr>
        <w:t>to action.</w:t>
      </w:r>
      <w:r w:rsidRPr="00C125BF">
        <w:rPr>
          <w:rFonts w:cs="Arial"/>
          <w:szCs w:val="24"/>
        </w:rPr>
        <w:t xml:space="preserve"> The categories include </w:t>
      </w:r>
      <w:r>
        <w:rPr>
          <w:rFonts w:cs="Arial"/>
          <w:szCs w:val="24"/>
        </w:rPr>
        <w:t>the following foci:</w:t>
      </w:r>
    </w:p>
    <w:p w14:paraId="0FAE4815" w14:textId="77777777" w:rsidR="000664BA" w:rsidRDefault="000664BA" w:rsidP="00511C18">
      <w:pPr>
        <w:pStyle w:val="ListParagraph"/>
        <w:numPr>
          <w:ilvl w:val="0"/>
          <w:numId w:val="16"/>
        </w:numPr>
        <w:spacing w:before="240" w:after="240"/>
        <w:rPr>
          <w:rFonts w:cs="Arial"/>
          <w:szCs w:val="24"/>
        </w:rPr>
      </w:pPr>
      <w:r w:rsidRPr="003A421F">
        <w:rPr>
          <w:rFonts w:cs="Arial"/>
          <w:szCs w:val="24"/>
        </w:rPr>
        <w:t xml:space="preserve">Collective </w:t>
      </w:r>
      <w:r>
        <w:rPr>
          <w:rFonts w:cs="Arial"/>
          <w:szCs w:val="24"/>
        </w:rPr>
        <w:t>vision</w:t>
      </w:r>
    </w:p>
    <w:p w14:paraId="2C100AEC" w14:textId="77777777" w:rsidR="000664BA" w:rsidRDefault="000664BA" w:rsidP="00511C18">
      <w:pPr>
        <w:pStyle w:val="ListParagraph"/>
        <w:numPr>
          <w:ilvl w:val="0"/>
          <w:numId w:val="16"/>
        </w:numPr>
        <w:spacing w:before="240" w:after="240"/>
        <w:rPr>
          <w:rFonts w:cs="Arial"/>
          <w:szCs w:val="24"/>
        </w:rPr>
      </w:pPr>
      <w:r>
        <w:rPr>
          <w:rFonts w:cs="Arial"/>
          <w:szCs w:val="24"/>
        </w:rPr>
        <w:t>Changing management</w:t>
      </w:r>
    </w:p>
    <w:p w14:paraId="7E7FC989" w14:textId="77777777" w:rsidR="000664BA" w:rsidRDefault="000664BA" w:rsidP="00511C18">
      <w:pPr>
        <w:pStyle w:val="ListParagraph"/>
        <w:numPr>
          <w:ilvl w:val="0"/>
          <w:numId w:val="16"/>
        </w:numPr>
        <w:spacing w:before="240" w:after="240"/>
        <w:rPr>
          <w:rFonts w:cs="Arial"/>
          <w:szCs w:val="24"/>
        </w:rPr>
      </w:pPr>
      <w:r>
        <w:rPr>
          <w:rFonts w:cs="Arial"/>
          <w:szCs w:val="24"/>
        </w:rPr>
        <w:t>S</w:t>
      </w:r>
      <w:r w:rsidRPr="003A421F">
        <w:rPr>
          <w:rFonts w:cs="Arial"/>
          <w:szCs w:val="24"/>
        </w:rPr>
        <w:t>hapin</w:t>
      </w:r>
      <w:r>
        <w:rPr>
          <w:rFonts w:cs="Arial"/>
          <w:szCs w:val="24"/>
        </w:rPr>
        <w:t>g the discourse around equity</w:t>
      </w:r>
    </w:p>
    <w:p w14:paraId="076389C1" w14:textId="77777777" w:rsidR="000664BA" w:rsidRDefault="000664BA" w:rsidP="00511C18">
      <w:pPr>
        <w:pStyle w:val="ListParagraph"/>
        <w:numPr>
          <w:ilvl w:val="0"/>
          <w:numId w:val="16"/>
        </w:numPr>
        <w:spacing w:before="240" w:after="240"/>
        <w:rPr>
          <w:rFonts w:cs="Arial"/>
          <w:szCs w:val="24"/>
        </w:rPr>
      </w:pPr>
      <w:r>
        <w:rPr>
          <w:rFonts w:cs="Arial"/>
          <w:szCs w:val="24"/>
        </w:rPr>
        <w:t>School culture</w:t>
      </w:r>
    </w:p>
    <w:p w14:paraId="10A863B1" w14:textId="77777777" w:rsidR="000664BA" w:rsidRPr="003A421F" w:rsidRDefault="000664BA" w:rsidP="00511C18">
      <w:pPr>
        <w:pStyle w:val="ListParagraph"/>
        <w:numPr>
          <w:ilvl w:val="0"/>
          <w:numId w:val="16"/>
        </w:numPr>
        <w:spacing w:before="240" w:after="240"/>
        <w:rPr>
          <w:rFonts w:cs="Arial"/>
          <w:szCs w:val="24"/>
        </w:rPr>
      </w:pPr>
      <w:r w:rsidRPr="003A421F">
        <w:rPr>
          <w:rFonts w:cs="Arial"/>
          <w:szCs w:val="24"/>
        </w:rPr>
        <w:t xml:space="preserve">Systems analysis and </w:t>
      </w:r>
      <w:r>
        <w:rPr>
          <w:rFonts w:cs="Arial"/>
          <w:szCs w:val="24"/>
        </w:rPr>
        <w:t>m</w:t>
      </w:r>
      <w:r w:rsidRPr="003A421F">
        <w:rPr>
          <w:rFonts w:cs="Arial"/>
          <w:szCs w:val="24"/>
        </w:rPr>
        <w:t>onitoring</w:t>
      </w:r>
    </w:p>
    <w:p w14:paraId="27054815" w14:textId="77777777" w:rsidR="000664BA" w:rsidRDefault="000664BA" w:rsidP="00511C18">
      <w:pPr>
        <w:pStyle w:val="ListParagraph"/>
        <w:numPr>
          <w:ilvl w:val="0"/>
          <w:numId w:val="16"/>
        </w:numPr>
        <w:spacing w:before="240" w:after="240"/>
        <w:rPr>
          <w:rFonts w:cs="Arial"/>
          <w:szCs w:val="24"/>
        </w:rPr>
      </w:pPr>
      <w:r>
        <w:rPr>
          <w:rFonts w:cs="Arial"/>
          <w:szCs w:val="24"/>
        </w:rPr>
        <w:t>Capacity building</w:t>
      </w:r>
    </w:p>
    <w:p w14:paraId="10AB0BBF" w14:textId="77777777" w:rsidR="000664BA" w:rsidRDefault="000664BA" w:rsidP="00511C18">
      <w:pPr>
        <w:spacing w:before="240" w:after="240"/>
        <w:rPr>
          <w:rFonts w:cs="Arial"/>
          <w:szCs w:val="24"/>
        </w:rPr>
      </w:pPr>
      <w:r w:rsidRPr="003A421F">
        <w:rPr>
          <w:rFonts w:cs="Arial"/>
          <w:szCs w:val="24"/>
        </w:rPr>
        <w:t>Coaches monitor</w:t>
      </w:r>
      <w:r>
        <w:rPr>
          <w:rFonts w:cs="Arial"/>
          <w:szCs w:val="24"/>
        </w:rPr>
        <w:t>ed</w:t>
      </w:r>
      <w:r w:rsidRPr="003A421F">
        <w:rPr>
          <w:rFonts w:cs="Arial"/>
          <w:szCs w:val="24"/>
        </w:rPr>
        <w:t xml:space="preserve"> their </w:t>
      </w:r>
      <w:r>
        <w:rPr>
          <w:rFonts w:cs="Arial"/>
          <w:szCs w:val="24"/>
        </w:rPr>
        <w:t>teams’ progress regularly to keep</w:t>
      </w:r>
      <w:r w:rsidRPr="003A421F">
        <w:rPr>
          <w:rFonts w:cs="Arial"/>
          <w:szCs w:val="24"/>
        </w:rPr>
        <w:t xml:space="preserve"> teams</w:t>
      </w:r>
      <w:r>
        <w:rPr>
          <w:rFonts w:cs="Arial"/>
          <w:szCs w:val="24"/>
        </w:rPr>
        <w:t xml:space="preserve"> on track in order to </w:t>
      </w:r>
      <w:r w:rsidRPr="00C125BF">
        <w:rPr>
          <w:rFonts w:cs="Arial"/>
          <w:szCs w:val="24"/>
        </w:rPr>
        <w:t xml:space="preserve">accomplish </w:t>
      </w:r>
      <w:r>
        <w:rPr>
          <w:rFonts w:cs="Arial"/>
          <w:szCs w:val="24"/>
        </w:rPr>
        <w:t>CEPIP</w:t>
      </w:r>
      <w:r w:rsidRPr="00C125BF">
        <w:rPr>
          <w:rFonts w:cs="Arial"/>
          <w:szCs w:val="24"/>
        </w:rPr>
        <w:t xml:space="preserve"> objectives.</w:t>
      </w:r>
    </w:p>
    <w:p w14:paraId="0CEE681F" w14:textId="3D460EA8" w:rsidR="000664BA" w:rsidRPr="005516BA" w:rsidRDefault="000664BA" w:rsidP="00511C18">
      <w:pPr>
        <w:pStyle w:val="Heading4"/>
        <w:jc w:val="center"/>
      </w:pPr>
      <w:r w:rsidRPr="005516BA">
        <w:t>Santa Clara COE’s CEPIP</w:t>
      </w:r>
    </w:p>
    <w:p w14:paraId="311D168C" w14:textId="77777777" w:rsidR="009C3A80" w:rsidRDefault="000664BA" w:rsidP="00511C18">
      <w:pPr>
        <w:spacing w:before="240" w:after="240"/>
      </w:pPr>
      <w:r>
        <w:t xml:space="preserve">The Santa Clara COE Equity Lead launched its CEPIP in its </w:t>
      </w:r>
      <w:r w:rsidRPr="00CF779B">
        <w:rPr>
          <w:i/>
        </w:rPr>
        <w:t>California 1</w:t>
      </w:r>
      <w:r>
        <w:rPr>
          <w:i/>
        </w:rPr>
        <w:t>: Highway to</w:t>
      </w:r>
      <w:r w:rsidRPr="00CF779B">
        <w:rPr>
          <w:i/>
        </w:rPr>
        <w:t xml:space="preserve"> Success for ALL</w:t>
      </w:r>
      <w:r>
        <w:t xml:space="preserve"> program. The Santa Clara COE Equity Lead worked with its partnering schools, districts, and </w:t>
      </w:r>
      <w:r w:rsidR="00E469D8">
        <w:t xml:space="preserve">the four </w:t>
      </w:r>
      <w:r>
        <w:t xml:space="preserve">COEs </w:t>
      </w:r>
      <w:r w:rsidR="00E469D8">
        <w:t xml:space="preserve">in the region </w:t>
      </w:r>
      <w:r>
        <w:t>to tackle equity in professional learning and building capacity. M</w:t>
      </w:r>
      <w:r w:rsidR="00C9101C">
        <w:t>odeling the</w:t>
      </w:r>
      <w:r>
        <w:t>(</w:t>
      </w:r>
      <w:r w:rsidR="00C9101C">
        <w:t>MTSS</w:t>
      </w:r>
      <w:r>
        <w:t xml:space="preserve"> framework, the Santa Clara </w:t>
      </w:r>
      <w:r w:rsidR="00C9101C">
        <w:t xml:space="preserve">COE </w:t>
      </w:r>
      <w:r>
        <w:t xml:space="preserve">equity team built a three-tiered level of support </w:t>
      </w:r>
      <w:r w:rsidR="00C9101C">
        <w:t xml:space="preserve">of </w:t>
      </w:r>
      <w:r>
        <w:t>professional development training to enhance the academic and behavioral outcomes of African American students, English learners, and students with disability in its learning community.</w:t>
      </w:r>
    </w:p>
    <w:p w14:paraId="43F6D5EC" w14:textId="77777777" w:rsidR="000664BA" w:rsidRPr="00C711C2" w:rsidRDefault="000664BA" w:rsidP="00511C18">
      <w:pPr>
        <w:pStyle w:val="Heading5"/>
        <w:rPr>
          <w:b/>
          <w:sz w:val="24"/>
          <w:szCs w:val="24"/>
        </w:rPr>
      </w:pPr>
      <w:r w:rsidRPr="00C711C2">
        <w:rPr>
          <w:b/>
          <w:sz w:val="24"/>
          <w:szCs w:val="24"/>
        </w:rPr>
        <w:t>Tier 1 Online Training, Needs Assessment, and Coaching Support</w:t>
      </w:r>
    </w:p>
    <w:p w14:paraId="6F798923" w14:textId="77777777" w:rsidR="000664BA" w:rsidRDefault="000664BA" w:rsidP="00511C18">
      <w:pPr>
        <w:spacing w:before="240" w:after="240"/>
      </w:pPr>
      <w:r>
        <w:t xml:space="preserve">Situated in the heart of Silicon Valley with its prowess of technology, the Santa Clara equity team is working with Center for Applied Special Technology (CAST) Inc. to provide a variety online training modules. These modules including critical features listed below:  </w:t>
      </w:r>
    </w:p>
    <w:p w14:paraId="248EEBB8" w14:textId="77777777" w:rsidR="000664BA" w:rsidRDefault="000664BA" w:rsidP="00511C18">
      <w:pPr>
        <w:pStyle w:val="ListParagraph"/>
        <w:numPr>
          <w:ilvl w:val="0"/>
          <w:numId w:val="17"/>
        </w:numPr>
        <w:spacing w:before="240" w:after="240"/>
      </w:pPr>
      <w:r>
        <w:t>Vision and commitment</w:t>
      </w:r>
    </w:p>
    <w:p w14:paraId="19F5A9D1" w14:textId="77777777" w:rsidR="000664BA" w:rsidRDefault="000664BA" w:rsidP="00511C18">
      <w:pPr>
        <w:pStyle w:val="ListParagraph"/>
        <w:numPr>
          <w:ilvl w:val="0"/>
          <w:numId w:val="17"/>
        </w:numPr>
        <w:spacing w:before="240" w:after="240"/>
      </w:pPr>
      <w:r>
        <w:t>Building collaborative</w:t>
      </w:r>
      <w:r w:rsidR="00E469D8">
        <w:t xml:space="preserve"> teams</w:t>
      </w:r>
    </w:p>
    <w:p w14:paraId="008084B5" w14:textId="77777777" w:rsidR="000664BA" w:rsidRDefault="000664BA" w:rsidP="00511C18">
      <w:pPr>
        <w:pStyle w:val="ListParagraph"/>
        <w:numPr>
          <w:ilvl w:val="0"/>
          <w:numId w:val="17"/>
        </w:numPr>
        <w:spacing w:before="240" w:after="240"/>
      </w:pPr>
      <w:r>
        <w:t>Universal core instruction and intervention</w:t>
      </w:r>
    </w:p>
    <w:p w14:paraId="5D6FB5B2" w14:textId="77777777" w:rsidR="000664BA" w:rsidRDefault="000664BA" w:rsidP="00511C18">
      <w:pPr>
        <w:pStyle w:val="ListParagraph"/>
        <w:numPr>
          <w:ilvl w:val="0"/>
          <w:numId w:val="17"/>
        </w:numPr>
        <w:spacing w:before="240" w:after="240"/>
      </w:pPr>
      <w:r>
        <w:t>Data tools</w:t>
      </w:r>
    </w:p>
    <w:p w14:paraId="219A525F" w14:textId="77777777" w:rsidR="000664BA" w:rsidRDefault="00E469D8" w:rsidP="00511C18">
      <w:pPr>
        <w:pStyle w:val="ListParagraph"/>
        <w:numPr>
          <w:ilvl w:val="0"/>
          <w:numId w:val="17"/>
        </w:numPr>
        <w:spacing w:before="240" w:after="240"/>
      </w:pPr>
      <w:r>
        <w:t>Developing p</w:t>
      </w:r>
      <w:r w:rsidR="000664BA">
        <w:t>lan</w:t>
      </w:r>
      <w:r>
        <w:t>s</w:t>
      </w:r>
      <w:r w:rsidR="000664BA">
        <w:t xml:space="preserve"> for school/LEA-wide implementation and improvement</w:t>
      </w:r>
    </w:p>
    <w:p w14:paraId="3856CA3F" w14:textId="77777777" w:rsidR="000664BA" w:rsidRDefault="000664BA" w:rsidP="00511C18">
      <w:pPr>
        <w:spacing w:before="240" w:after="240"/>
      </w:pPr>
      <w:r>
        <w:t>During 2018–19 CEPIP operation year, it successfully launched the following seven online learning modules:</w:t>
      </w:r>
    </w:p>
    <w:p w14:paraId="7499B484" w14:textId="77777777" w:rsidR="000664BA" w:rsidRDefault="000664BA" w:rsidP="00511C18">
      <w:pPr>
        <w:pStyle w:val="ListParagraph"/>
        <w:numPr>
          <w:ilvl w:val="0"/>
          <w:numId w:val="18"/>
        </w:numPr>
        <w:spacing w:before="240" w:after="240"/>
      </w:pPr>
      <w:r>
        <w:lastRenderedPageBreak/>
        <w:t>Mission and Commitment</w:t>
      </w:r>
    </w:p>
    <w:p w14:paraId="47AF1FCB" w14:textId="77777777" w:rsidR="000664BA" w:rsidRDefault="000664BA" w:rsidP="00511C18">
      <w:pPr>
        <w:pStyle w:val="ListParagraph"/>
        <w:numPr>
          <w:ilvl w:val="0"/>
          <w:numId w:val="18"/>
        </w:numPr>
        <w:spacing w:before="240" w:after="240"/>
      </w:pPr>
      <w:r>
        <w:t>Building Collaborative Teams</w:t>
      </w:r>
    </w:p>
    <w:p w14:paraId="246381B2" w14:textId="77777777" w:rsidR="000664BA" w:rsidRDefault="000664BA" w:rsidP="00511C18">
      <w:pPr>
        <w:pStyle w:val="ListParagraph"/>
        <w:numPr>
          <w:ilvl w:val="0"/>
          <w:numId w:val="18"/>
        </w:numPr>
        <w:spacing w:before="240" w:after="240"/>
      </w:pPr>
      <w:r>
        <w:t xml:space="preserve">Universal Design for Learning </w:t>
      </w:r>
      <w:r w:rsidR="001B5C16">
        <w:t>(UDL)</w:t>
      </w:r>
    </w:p>
    <w:p w14:paraId="18734011" w14:textId="77777777" w:rsidR="000664BA" w:rsidRDefault="000664BA" w:rsidP="00511C18">
      <w:pPr>
        <w:pStyle w:val="ListParagraph"/>
        <w:numPr>
          <w:ilvl w:val="0"/>
          <w:numId w:val="18"/>
        </w:numPr>
        <w:spacing w:before="240" w:after="240"/>
      </w:pPr>
      <w:r>
        <w:t>Supporting English Learners in MTSS</w:t>
      </w:r>
    </w:p>
    <w:p w14:paraId="186D7AB6" w14:textId="77777777" w:rsidR="000664BA" w:rsidRDefault="000664BA" w:rsidP="00511C18">
      <w:pPr>
        <w:pStyle w:val="ListParagraph"/>
        <w:numPr>
          <w:ilvl w:val="0"/>
          <w:numId w:val="18"/>
        </w:numPr>
        <w:spacing w:before="240" w:after="240"/>
      </w:pPr>
      <w:r>
        <w:t>Supporting Students with Disability in MTSS</w:t>
      </w:r>
      <w:r w:rsidR="001B5C16">
        <w:t xml:space="preserve"> </w:t>
      </w:r>
    </w:p>
    <w:p w14:paraId="3B0943E0" w14:textId="77777777" w:rsidR="000664BA" w:rsidRDefault="000664BA" w:rsidP="00511C18">
      <w:pPr>
        <w:pStyle w:val="ListParagraph"/>
        <w:numPr>
          <w:ilvl w:val="0"/>
          <w:numId w:val="18"/>
        </w:numPr>
        <w:spacing w:before="240" w:after="240"/>
      </w:pPr>
      <w:r>
        <w:t>Schoolwide Positive Behavior</w:t>
      </w:r>
    </w:p>
    <w:p w14:paraId="6D7DC535" w14:textId="77777777" w:rsidR="000664BA" w:rsidRDefault="000664BA" w:rsidP="00511C18">
      <w:pPr>
        <w:pStyle w:val="ListParagraph"/>
        <w:numPr>
          <w:ilvl w:val="0"/>
          <w:numId w:val="18"/>
        </w:numPr>
        <w:spacing w:before="240" w:after="240"/>
      </w:pPr>
      <w:r>
        <w:t>Cultural Responsive Anti-Biased Teaching</w:t>
      </w:r>
    </w:p>
    <w:p w14:paraId="0D03847C" w14:textId="77777777" w:rsidR="000664BA" w:rsidRPr="00C711C2" w:rsidRDefault="000664BA" w:rsidP="00511C18">
      <w:pPr>
        <w:pStyle w:val="Heading5"/>
        <w:rPr>
          <w:b/>
          <w:sz w:val="24"/>
          <w:szCs w:val="24"/>
        </w:rPr>
      </w:pPr>
      <w:r w:rsidRPr="00C711C2">
        <w:rPr>
          <w:b/>
          <w:sz w:val="24"/>
          <w:szCs w:val="24"/>
        </w:rPr>
        <w:t>Tier 2 Face-to-Face Training and Support</w:t>
      </w:r>
    </w:p>
    <w:p w14:paraId="5AFE30D5" w14:textId="77777777" w:rsidR="009C3A80" w:rsidRDefault="00E469D8" w:rsidP="00511C18">
      <w:pPr>
        <w:pStyle w:val="ListParagraph"/>
        <w:spacing w:before="240" w:after="240"/>
        <w:ind w:left="0"/>
      </w:pPr>
      <w:r>
        <w:t>T</w:t>
      </w:r>
      <w:r w:rsidR="000664BA">
        <w:t xml:space="preserve">he Santa Clara </w:t>
      </w:r>
      <w:r w:rsidR="008265F3">
        <w:t xml:space="preserve">COE </w:t>
      </w:r>
      <w:r w:rsidR="000664BA">
        <w:t>Equity Lead provided face-to-face training and support through conferences, regional CEPIP institutes, monthly online professional learning communities (PLCs), and annual conferences</w:t>
      </w:r>
      <w:r>
        <w:t xml:space="preserve"> as part of their Tier 2 approach</w:t>
      </w:r>
      <w:r w:rsidR="000664BA">
        <w:t>. By inviting national leaders of equity into the conversation, the Santa Clara COE Equity Lead engaged its professional learning in self-refle</w:t>
      </w:r>
      <w:r w:rsidR="001A5991">
        <w:t>ction and commitment (Singleton</w:t>
      </w:r>
      <w:r w:rsidR="000664BA">
        <w:t xml:space="preserve"> 2015) to build the leadership</w:t>
      </w:r>
      <w:r w:rsidR="003D49CB">
        <w:t>’s</w:t>
      </w:r>
      <w:r w:rsidR="000664BA">
        <w:t xml:space="preserve"> capacity for equity. </w:t>
      </w:r>
      <w:r w:rsidR="003D49CB">
        <w:t>Building relationships and</w:t>
      </w:r>
      <w:r w:rsidR="000664BA">
        <w:t xml:space="preserve"> partnering</w:t>
      </w:r>
      <w:r w:rsidR="003D49CB">
        <w:t xml:space="preserve"> with</w:t>
      </w:r>
      <w:r w:rsidR="000664BA">
        <w:t xml:space="preserve"> schools and districts, the equity team engage</w:t>
      </w:r>
      <w:r w:rsidR="003D49CB">
        <w:t>d</w:t>
      </w:r>
      <w:r w:rsidR="000664BA">
        <w:t xml:space="preserve"> in implementing actionable changes by providing ongoing professional development, coaching, </w:t>
      </w:r>
      <w:r w:rsidR="003D49CB">
        <w:t xml:space="preserve">utilizing the </w:t>
      </w:r>
      <w:r w:rsidR="000664BA">
        <w:t>Local Control Accountability Plan (LCAP) review</w:t>
      </w:r>
      <w:r w:rsidR="003D49CB">
        <w:t xml:space="preserve"> process</w:t>
      </w:r>
      <w:r w:rsidR="000664BA">
        <w:t>, and</w:t>
      </w:r>
      <w:r w:rsidR="003D49CB">
        <w:t xml:space="preserve"> reviewing policy/program with an equity lens</w:t>
      </w:r>
      <w:r w:rsidR="000664BA">
        <w:t>.</w:t>
      </w:r>
    </w:p>
    <w:p w14:paraId="64A44686" w14:textId="77777777" w:rsidR="000664BA" w:rsidRPr="00C711C2" w:rsidRDefault="000664BA" w:rsidP="00511C18">
      <w:pPr>
        <w:pStyle w:val="Heading5"/>
        <w:rPr>
          <w:b/>
          <w:sz w:val="24"/>
          <w:szCs w:val="24"/>
        </w:rPr>
      </w:pPr>
      <w:r w:rsidRPr="00C711C2">
        <w:rPr>
          <w:b/>
          <w:sz w:val="24"/>
          <w:szCs w:val="24"/>
        </w:rPr>
        <w:t>Tier 3 Implementation and Improvement Science Cohort</w:t>
      </w:r>
    </w:p>
    <w:p w14:paraId="0D327925" w14:textId="77777777" w:rsidR="000664BA" w:rsidRPr="009802EB" w:rsidRDefault="000664BA" w:rsidP="00511C18">
      <w:pPr>
        <w:spacing w:before="240" w:after="240"/>
      </w:pPr>
      <w:r>
        <w:t>The Santa Clara COE Equity Lead will provide intensive support through an implementation and improvement science cohort during the 2019</w:t>
      </w:r>
      <w:r w:rsidR="008265F3">
        <w:t>–</w:t>
      </w:r>
      <w:r>
        <w:t>20</w:t>
      </w:r>
      <w:r w:rsidR="003D49CB">
        <w:t xml:space="preserve"> school year. Those schools and LEAs who are committed to systemic changes and</w:t>
      </w:r>
      <w:r>
        <w:t xml:space="preserve"> received </w:t>
      </w:r>
      <w:r w:rsidR="008265F3">
        <w:t>T</w:t>
      </w:r>
      <w:r>
        <w:t>ier 1 and 2 supports will be invited to participate in the Tier 3 cohort. The Santa Clara COE Equity Lead will also conduct equity audits, engage in continuous improvement efforts, and develop/apply project activities with intensive collaboration throughout the 2019</w:t>
      </w:r>
      <w:r w:rsidR="008265F3">
        <w:t>–</w:t>
      </w:r>
      <w:r>
        <w:t>20 school year.</w:t>
      </w:r>
    </w:p>
    <w:p w14:paraId="645E3A95" w14:textId="00C1EA01" w:rsidR="000664BA" w:rsidRPr="005E6A8D" w:rsidRDefault="000664BA" w:rsidP="00511C18">
      <w:pPr>
        <w:pStyle w:val="Heading3"/>
      </w:pPr>
      <w:bookmarkStart w:id="16" w:name="_Toc46228497"/>
      <w:r w:rsidRPr="005E6A8D">
        <w:t>Collaboration among the Equity Leads, CDE, and WestEd</w:t>
      </w:r>
      <w:bookmarkEnd w:id="16"/>
    </w:p>
    <w:p w14:paraId="0DFA6489" w14:textId="77777777" w:rsidR="000664BA" w:rsidRDefault="000664BA" w:rsidP="00511C18">
      <w:pPr>
        <w:spacing w:before="240" w:after="240"/>
      </w:pPr>
      <w:r>
        <w:t xml:space="preserve">With the intention of scaling up the equity work and building capacity statewide, the CDE, in consultation with the Comprehensive School Assistance Program at WestEd, collaborated with the equity leads on a regular basis. The CEPIP kick off meeting (via teleconference) was held on August 21, 2018, followed by monthly conference calls, in-person meetings, and joint presentations at various conferences and professional development opportunities. </w:t>
      </w:r>
    </w:p>
    <w:p w14:paraId="59EF9FA7" w14:textId="77777777" w:rsidR="000664BA" w:rsidRDefault="000664BA" w:rsidP="00511C18">
      <w:pPr>
        <w:spacing w:before="240" w:after="240"/>
      </w:pPr>
      <w:r>
        <w:t xml:space="preserve">A professional learning model was designed and conducted with a focus on building strong relationships among the equity leads, the CDE, and WestEd through regular </w:t>
      </w:r>
      <w:r>
        <w:lastRenderedPageBreak/>
        <w:t>communication and frequent collaboration. An example of the collaborative nature of this relationship was after CDE shared its Theory of Action, developed in consultation with the WestEd, the San Diego COE Equity Lead then developed its own Theory of Action and Logistic Model through sharing and seeking input from the team. Although each equity lead operated utilizing its own unique model (Continuous Improvement for San Diego and MTSS for Santa Clara), regularly exchanging CEPIP activities, lessons learned, and challenges provided opport</w:t>
      </w:r>
      <w:r w:rsidR="003D49CB">
        <w:t>unities for learning and growth</w:t>
      </w:r>
      <w:r>
        <w:t xml:space="preserve"> for all parties.</w:t>
      </w:r>
    </w:p>
    <w:p w14:paraId="58CCB93C" w14:textId="736F22B0" w:rsidR="000664BA" w:rsidRDefault="000664BA" w:rsidP="00511C18">
      <w:pPr>
        <w:pStyle w:val="Heading2"/>
      </w:pPr>
      <w:bookmarkStart w:id="17" w:name="_Toc46228498"/>
      <w:r>
        <w:t>III. CEPIP Activity Report Summary</w:t>
      </w:r>
      <w:bookmarkEnd w:id="17"/>
    </w:p>
    <w:p w14:paraId="40EB1E65" w14:textId="77777777" w:rsidR="000664BA" w:rsidRPr="00F35E9F" w:rsidRDefault="000664BA" w:rsidP="00511C18">
      <w:pPr>
        <w:spacing w:before="240" w:after="240"/>
        <w:rPr>
          <w:rFonts w:cs="Arial"/>
          <w:szCs w:val="24"/>
        </w:rPr>
      </w:pPr>
      <w:r w:rsidRPr="00F35E9F">
        <w:rPr>
          <w:rFonts w:cs="Arial"/>
          <w:szCs w:val="24"/>
        </w:rPr>
        <w:t>AB 99</w:t>
      </w:r>
      <w:r>
        <w:rPr>
          <w:rFonts w:cs="Arial"/>
          <w:szCs w:val="24"/>
        </w:rPr>
        <w:t>, Section 87(f</w:t>
      </w:r>
      <w:r w:rsidRPr="00F35E9F">
        <w:rPr>
          <w:rFonts w:cs="Arial"/>
          <w:szCs w:val="24"/>
        </w:rPr>
        <w:t xml:space="preserve">) </w:t>
      </w:r>
      <w:r>
        <w:rPr>
          <w:rFonts w:cs="Arial"/>
          <w:szCs w:val="24"/>
        </w:rPr>
        <w:t>requires CEPIP lead agencies to provide an annual report to the CDE on the specifics listed below</w:t>
      </w:r>
      <w:r w:rsidRPr="00F35E9F">
        <w:rPr>
          <w:rFonts w:cs="Arial"/>
          <w:szCs w:val="24"/>
        </w:rPr>
        <w:t>:</w:t>
      </w:r>
    </w:p>
    <w:p w14:paraId="16F9DC3D" w14:textId="77777777" w:rsidR="000664BA" w:rsidRPr="002A4508" w:rsidRDefault="000664BA" w:rsidP="00511C18">
      <w:pPr>
        <w:pStyle w:val="ListParagraph"/>
        <w:numPr>
          <w:ilvl w:val="0"/>
          <w:numId w:val="44"/>
        </w:numPr>
        <w:spacing w:before="240" w:after="240"/>
        <w:ind w:left="720"/>
        <w:rPr>
          <w:rFonts w:cs="Arial"/>
          <w:szCs w:val="24"/>
        </w:rPr>
      </w:pPr>
      <w:r w:rsidRPr="002A4508">
        <w:rPr>
          <w:rFonts w:cs="Arial"/>
          <w:szCs w:val="24"/>
        </w:rPr>
        <w:t>A summary of the activities conducted and resources developed.</w:t>
      </w:r>
    </w:p>
    <w:p w14:paraId="0A82D7F2" w14:textId="756B5CE4" w:rsidR="00007ED1" w:rsidRPr="003D49CB" w:rsidRDefault="000664BA" w:rsidP="00511C18">
      <w:pPr>
        <w:pStyle w:val="ListParagraph"/>
        <w:numPr>
          <w:ilvl w:val="0"/>
          <w:numId w:val="44"/>
        </w:numPr>
        <w:spacing w:before="240" w:after="240"/>
        <w:ind w:left="720"/>
        <w:rPr>
          <w:rFonts w:cs="Arial"/>
          <w:szCs w:val="24"/>
        </w:rPr>
      </w:pPr>
      <w:r w:rsidRPr="002A4508">
        <w:rPr>
          <w:rFonts w:cs="Arial"/>
          <w:szCs w:val="24"/>
        </w:rPr>
        <w:t xml:space="preserve">The number of school districts, county offices of education, charter schools, </w:t>
      </w:r>
      <w:r w:rsidR="002A4508" w:rsidRPr="002A4508">
        <w:rPr>
          <w:rFonts w:cs="Arial"/>
          <w:szCs w:val="24"/>
        </w:rPr>
        <w:t>e</w:t>
      </w:r>
      <w:r w:rsidRPr="002A4508">
        <w:rPr>
          <w:rFonts w:cs="Arial"/>
          <w:szCs w:val="24"/>
        </w:rPr>
        <w:t>ducators, and pupils served by the activities and resources.</w:t>
      </w:r>
    </w:p>
    <w:p w14:paraId="58A312D7" w14:textId="77777777" w:rsidR="000664BA" w:rsidRPr="002A4508" w:rsidRDefault="000664BA" w:rsidP="00511C18">
      <w:pPr>
        <w:pStyle w:val="ListParagraph"/>
        <w:numPr>
          <w:ilvl w:val="0"/>
          <w:numId w:val="44"/>
        </w:numPr>
        <w:spacing w:before="240" w:after="240"/>
        <w:ind w:left="720"/>
        <w:rPr>
          <w:rFonts w:cs="Arial"/>
          <w:szCs w:val="24"/>
        </w:rPr>
      </w:pPr>
      <w:r w:rsidRPr="002A4508">
        <w:rPr>
          <w:rFonts w:cs="Arial"/>
          <w:szCs w:val="24"/>
        </w:rPr>
        <w:t>A summary of any data that is available on outcomes resulting from the activities conducted.</w:t>
      </w:r>
    </w:p>
    <w:p w14:paraId="0316973A" w14:textId="77777777" w:rsidR="00106D14" w:rsidRDefault="000664BA" w:rsidP="00511C18">
      <w:pPr>
        <w:pStyle w:val="ListParagraph"/>
        <w:numPr>
          <w:ilvl w:val="0"/>
          <w:numId w:val="44"/>
        </w:numPr>
        <w:spacing w:before="240" w:after="240"/>
        <w:ind w:left="720"/>
        <w:rPr>
          <w:rFonts w:cs="Arial"/>
          <w:szCs w:val="24"/>
        </w:rPr>
      </w:pPr>
      <w:r w:rsidRPr="002A4508">
        <w:rPr>
          <w:rFonts w:cs="Arial"/>
          <w:szCs w:val="24"/>
        </w:rPr>
        <w:t>A summary of how state-level activities to promote equity in California’s public schools have improved and recommendations for improving state-level activities or policies to promote equity in California’s public schools.</w:t>
      </w:r>
    </w:p>
    <w:p w14:paraId="14B44CBD" w14:textId="77777777" w:rsidR="000664BA" w:rsidRDefault="000664BA" w:rsidP="00511C18">
      <w:pPr>
        <w:spacing w:before="240" w:after="240"/>
      </w:pPr>
      <w:r>
        <w:t xml:space="preserve">The following report is assembled based on each equity lead agencies’ report to the CDE. </w:t>
      </w:r>
    </w:p>
    <w:p w14:paraId="63F098C5" w14:textId="5BD6B0F2" w:rsidR="000664BA" w:rsidRPr="004C6BF7" w:rsidRDefault="000664BA" w:rsidP="00511C18">
      <w:pPr>
        <w:pStyle w:val="Heading3"/>
      </w:pPr>
      <w:bookmarkStart w:id="18" w:name="_Toc46228499"/>
      <w:r w:rsidRPr="004C6BF7">
        <w:t>Summary of Activities</w:t>
      </w:r>
      <w:r w:rsidR="00B83A4B">
        <w:t xml:space="preserve"> C</w:t>
      </w:r>
      <w:r w:rsidRPr="004C6BF7">
        <w:t>onducted and Resources Developed</w:t>
      </w:r>
      <w:bookmarkEnd w:id="18"/>
    </w:p>
    <w:p w14:paraId="2021B18F" w14:textId="629B9BD1" w:rsidR="000664BA" w:rsidRPr="004C6BF7" w:rsidRDefault="000664BA" w:rsidP="00511C18">
      <w:pPr>
        <w:pStyle w:val="Heading4"/>
        <w:jc w:val="center"/>
      </w:pPr>
      <w:r w:rsidRPr="004C6BF7">
        <w:t>San Diego COE Equity Lead</w:t>
      </w:r>
    </w:p>
    <w:p w14:paraId="47A57551" w14:textId="61555731" w:rsidR="00C96771" w:rsidRDefault="000664BA" w:rsidP="00511C18">
      <w:pPr>
        <w:spacing w:before="240" w:after="240"/>
      </w:pPr>
      <w:r>
        <w:t xml:space="preserve">Based on the Continuous Improvement Model, </w:t>
      </w:r>
      <w:r w:rsidR="008265F3">
        <w:t>t</w:t>
      </w:r>
      <w:r>
        <w:t>he San Diego COE Equity Lead conducted equity audits, supported schools to leverage equity audit report findings, provided professional learning in equity conscious teaching/leadership practices and continuous improvement, and provided coaching support to manage change in the continuous improvement action periods. All activities focused on the African American and English Learner targeted student groups. Table 2 shows the San Diego COE Equity Lead Agency’s activities conducted and resources developed during the first CEPIP operation</w:t>
      </w:r>
      <w:r w:rsidR="003D49CB">
        <w:t>al</w:t>
      </w:r>
      <w:r>
        <w:t xml:space="preserve"> year of July 1, 2018</w:t>
      </w:r>
      <w:r w:rsidR="00C07F68">
        <w:t>,</w:t>
      </w:r>
      <w:r w:rsidR="000137D9">
        <w:t xml:space="preserve"> to</w:t>
      </w:r>
      <w:r>
        <w:t xml:space="preserve"> June 30, 2019.</w:t>
      </w:r>
      <w:r w:rsidR="00C96771">
        <w:br w:type="page"/>
      </w:r>
    </w:p>
    <w:p w14:paraId="3A055CB1" w14:textId="5F55B0C5" w:rsidR="00E35616" w:rsidRPr="00E35616" w:rsidRDefault="000664BA" w:rsidP="00511C18">
      <w:pPr>
        <w:spacing w:after="240"/>
        <w:rPr>
          <w:b/>
        </w:rPr>
      </w:pPr>
      <w:r w:rsidRPr="00E35616">
        <w:rPr>
          <w:b/>
        </w:rPr>
        <w:lastRenderedPageBreak/>
        <w:t>Table 2 Activities Conducted and Resources Developed by the San Diego COE Equity Lead Agency during 2018–19 CEPIP Operation</w:t>
      </w:r>
      <w:r w:rsidR="003D49CB" w:rsidRPr="00E35616">
        <w:rPr>
          <w:b/>
        </w:rPr>
        <w:t>al</w:t>
      </w:r>
      <w:r w:rsidRPr="00E35616">
        <w:rPr>
          <w:b/>
        </w:rPr>
        <w:t xml:space="preserve"> Year</w:t>
      </w:r>
    </w:p>
    <w:tbl>
      <w:tblPr>
        <w:tblStyle w:val="TableGrid3"/>
        <w:tblW w:w="9900" w:type="dxa"/>
        <w:tblLayout w:type="fixed"/>
        <w:tblLook w:val="04A0" w:firstRow="1" w:lastRow="0" w:firstColumn="1" w:lastColumn="0" w:noHBand="0" w:noVBand="1"/>
        <w:tblCaption w:val="Activities and Resources"/>
        <w:tblDescription w:val="Acitivities and resources listed by targted student group"/>
      </w:tblPr>
      <w:tblGrid>
        <w:gridCol w:w="2785"/>
        <w:gridCol w:w="4140"/>
        <w:gridCol w:w="2975"/>
      </w:tblGrid>
      <w:tr w:rsidR="000664BA" w:rsidRPr="00902182" w14:paraId="6E71474E" w14:textId="77777777" w:rsidTr="00F376D4">
        <w:trPr>
          <w:cantSplit/>
          <w:trHeight w:val="720"/>
          <w:tblHeader/>
        </w:trPr>
        <w:tc>
          <w:tcPr>
            <w:tcW w:w="2785" w:type="dxa"/>
            <w:shd w:val="clear" w:color="auto" w:fill="D9D9D9" w:themeFill="background1" w:themeFillShade="D9"/>
            <w:vAlign w:val="center"/>
            <w:hideMark/>
          </w:tcPr>
          <w:p w14:paraId="5EDFC765" w14:textId="6DFE935E" w:rsidR="000664BA" w:rsidRPr="00902182" w:rsidRDefault="000664BA" w:rsidP="00511C18">
            <w:pPr>
              <w:widowControl/>
              <w:tabs>
                <w:tab w:val="center" w:pos="1284"/>
              </w:tabs>
              <w:jc w:val="center"/>
              <w:rPr>
                <w:rFonts w:cs="Arial"/>
                <w:b/>
                <w:bCs/>
                <w:snapToGrid/>
                <w:color w:val="000000"/>
                <w:szCs w:val="24"/>
              </w:rPr>
            </w:pPr>
            <w:r w:rsidRPr="00902182">
              <w:rPr>
                <w:rFonts w:eastAsia="Arial" w:cs="Arial"/>
                <w:b/>
                <w:bCs/>
                <w:snapToGrid/>
                <w:color w:val="000000"/>
              </w:rPr>
              <w:t>Activities Conducted</w:t>
            </w:r>
          </w:p>
        </w:tc>
        <w:tc>
          <w:tcPr>
            <w:tcW w:w="4140" w:type="dxa"/>
            <w:shd w:val="clear" w:color="auto" w:fill="D9D9D9" w:themeFill="background1" w:themeFillShade="D9"/>
            <w:vAlign w:val="center"/>
            <w:hideMark/>
          </w:tcPr>
          <w:p w14:paraId="49F15E62" w14:textId="77777777" w:rsidR="000664BA" w:rsidRPr="00902182" w:rsidRDefault="000664BA" w:rsidP="00511C18">
            <w:pPr>
              <w:widowControl/>
              <w:jc w:val="center"/>
              <w:rPr>
                <w:rFonts w:cs="Arial"/>
                <w:b/>
                <w:bCs/>
                <w:snapToGrid/>
                <w:color w:val="000000"/>
                <w:szCs w:val="24"/>
              </w:rPr>
            </w:pPr>
            <w:r w:rsidRPr="00902182">
              <w:rPr>
                <w:rFonts w:eastAsia="Arial" w:cs="Arial"/>
                <w:b/>
                <w:bCs/>
                <w:snapToGrid/>
                <w:color w:val="000000"/>
              </w:rPr>
              <w:t>Resources Disseminated/created/ Implemented</w:t>
            </w:r>
          </w:p>
        </w:tc>
        <w:tc>
          <w:tcPr>
            <w:tcW w:w="2975" w:type="dxa"/>
            <w:shd w:val="clear" w:color="auto" w:fill="D9D9D9" w:themeFill="background1" w:themeFillShade="D9"/>
            <w:vAlign w:val="center"/>
            <w:hideMark/>
          </w:tcPr>
          <w:p w14:paraId="4BBEB6A2" w14:textId="77777777" w:rsidR="000664BA" w:rsidRPr="00902182" w:rsidRDefault="000664BA" w:rsidP="00511C18">
            <w:pPr>
              <w:widowControl/>
              <w:jc w:val="center"/>
              <w:rPr>
                <w:rFonts w:cs="Arial"/>
                <w:b/>
                <w:bCs/>
                <w:snapToGrid/>
                <w:color w:val="000000"/>
                <w:szCs w:val="24"/>
              </w:rPr>
            </w:pPr>
            <w:r w:rsidRPr="00902182">
              <w:rPr>
                <w:rFonts w:eastAsia="Arial" w:cs="Arial"/>
                <w:b/>
                <w:bCs/>
                <w:snapToGrid/>
                <w:color w:val="000000"/>
              </w:rPr>
              <w:t>Targeted Student Group</w:t>
            </w:r>
          </w:p>
        </w:tc>
      </w:tr>
      <w:tr w:rsidR="000664BA" w:rsidRPr="00902182" w14:paraId="5CC7594F" w14:textId="77777777" w:rsidTr="00F376D4">
        <w:trPr>
          <w:cantSplit/>
          <w:trHeight w:val="1500"/>
        </w:trPr>
        <w:tc>
          <w:tcPr>
            <w:tcW w:w="2785" w:type="dxa"/>
            <w:vAlign w:val="center"/>
            <w:hideMark/>
          </w:tcPr>
          <w:p w14:paraId="0AC96F1B" w14:textId="77777777" w:rsidR="000664BA" w:rsidRPr="00902182" w:rsidRDefault="000664BA" w:rsidP="00511C18">
            <w:pPr>
              <w:widowControl/>
              <w:rPr>
                <w:rFonts w:cs="Arial"/>
                <w:snapToGrid/>
                <w:color w:val="000000"/>
                <w:szCs w:val="24"/>
              </w:rPr>
            </w:pPr>
            <w:r w:rsidRPr="00902182">
              <w:rPr>
                <w:rFonts w:eastAsia="Arial" w:cs="Arial"/>
                <w:snapToGrid/>
                <w:color w:val="000000"/>
              </w:rPr>
              <w:t>Equity Audits</w:t>
            </w:r>
          </w:p>
        </w:tc>
        <w:tc>
          <w:tcPr>
            <w:tcW w:w="4140" w:type="dxa"/>
            <w:vAlign w:val="center"/>
            <w:hideMark/>
          </w:tcPr>
          <w:p w14:paraId="6A8BA43E" w14:textId="69B3F871" w:rsidR="000664BA" w:rsidRPr="00F376D4" w:rsidRDefault="000664BA" w:rsidP="00C96771">
            <w:pPr>
              <w:widowControl/>
              <w:rPr>
                <w:rFonts w:eastAsia="Arial" w:cs="Arial"/>
                <w:snapToGrid/>
                <w:szCs w:val="24"/>
              </w:rPr>
            </w:pPr>
            <w:r w:rsidRPr="00F376D4">
              <w:rPr>
                <w:rFonts w:eastAsia="Arial" w:cs="Arial"/>
                <w:snapToGrid/>
                <w:szCs w:val="24"/>
              </w:rPr>
              <w:t>Propriety property of NCUST</w:t>
            </w:r>
            <w:r w:rsidR="00F376D4" w:rsidRPr="00F376D4">
              <w:rPr>
                <w:rFonts w:eastAsia="Arial" w:cs="Arial"/>
                <w:snapToGrid/>
                <w:szCs w:val="24"/>
              </w:rPr>
              <w:t>: (</w:t>
            </w:r>
            <w:hyperlink r:id="rId17" w:tooltip="Propriety property of NCUST" w:history="1">
              <w:r w:rsidR="00F376D4" w:rsidRPr="00F376D4">
                <w:rPr>
                  <w:rStyle w:val="Hyperlink"/>
                  <w:rFonts w:eastAsia="Arial" w:cs="Arial"/>
                  <w:snapToGrid/>
                  <w:szCs w:val="24"/>
                </w:rPr>
                <w:t>https://ncust.com/educational-equity-excellence-audit/</w:t>
              </w:r>
            </w:hyperlink>
            <w:r w:rsidR="00F376D4" w:rsidRPr="00F376D4">
              <w:rPr>
                <w:rFonts w:eastAsia="Arial" w:cs="Arial"/>
                <w:snapToGrid/>
                <w:szCs w:val="24"/>
              </w:rPr>
              <w:t>)</w:t>
            </w:r>
          </w:p>
        </w:tc>
        <w:tc>
          <w:tcPr>
            <w:tcW w:w="2975" w:type="dxa"/>
            <w:vAlign w:val="center"/>
            <w:hideMark/>
          </w:tcPr>
          <w:p w14:paraId="0A28DD88" w14:textId="77777777" w:rsidR="000664BA" w:rsidRPr="00902182" w:rsidRDefault="000664BA" w:rsidP="00511C18">
            <w:pPr>
              <w:widowControl/>
              <w:rPr>
                <w:rFonts w:cs="Arial"/>
                <w:snapToGrid/>
                <w:color w:val="000000"/>
                <w:szCs w:val="24"/>
              </w:rPr>
            </w:pPr>
            <w:r w:rsidRPr="00902182">
              <w:rPr>
                <w:rFonts w:eastAsia="Arial" w:cs="Arial"/>
                <w:snapToGrid/>
                <w:color w:val="000000"/>
              </w:rPr>
              <w:t>English Learners &amp; African Americans</w:t>
            </w:r>
          </w:p>
        </w:tc>
      </w:tr>
      <w:tr w:rsidR="000664BA" w:rsidRPr="00902182" w14:paraId="3212BDE4" w14:textId="77777777" w:rsidTr="00F376D4">
        <w:trPr>
          <w:cantSplit/>
          <w:trHeight w:val="2168"/>
        </w:trPr>
        <w:tc>
          <w:tcPr>
            <w:tcW w:w="2785" w:type="dxa"/>
            <w:vAlign w:val="center"/>
            <w:hideMark/>
          </w:tcPr>
          <w:p w14:paraId="66BA20A9" w14:textId="77777777" w:rsidR="000664BA" w:rsidRPr="00902182" w:rsidRDefault="000664BA" w:rsidP="00511C18">
            <w:pPr>
              <w:widowControl/>
              <w:rPr>
                <w:rFonts w:cs="Arial"/>
                <w:snapToGrid/>
                <w:color w:val="000000"/>
                <w:szCs w:val="24"/>
              </w:rPr>
            </w:pPr>
            <w:r w:rsidRPr="00902182">
              <w:rPr>
                <w:rFonts w:eastAsia="Arial" w:cs="Arial"/>
                <w:snapToGrid/>
                <w:color w:val="000000"/>
              </w:rPr>
              <w:t>Support schools to leverage equity</w:t>
            </w:r>
          </w:p>
        </w:tc>
        <w:tc>
          <w:tcPr>
            <w:tcW w:w="4140" w:type="dxa"/>
            <w:vAlign w:val="center"/>
            <w:hideMark/>
          </w:tcPr>
          <w:p w14:paraId="0D83E1FE" w14:textId="7266104C" w:rsidR="00D07282" w:rsidRPr="00F376D4" w:rsidRDefault="000664BA" w:rsidP="00511C18">
            <w:pPr>
              <w:widowControl/>
              <w:spacing w:before="240" w:after="240"/>
              <w:rPr>
                <w:rFonts w:eastAsia="Arial" w:cs="Arial"/>
                <w:snapToGrid/>
                <w:szCs w:val="24"/>
              </w:rPr>
            </w:pPr>
            <w:r w:rsidRPr="00F376D4">
              <w:rPr>
                <w:rFonts w:eastAsia="Arial" w:cs="Arial"/>
                <w:snapToGrid/>
                <w:szCs w:val="24"/>
              </w:rPr>
              <w:t>Equity resources</w:t>
            </w:r>
          </w:p>
          <w:p w14:paraId="178184A6" w14:textId="2737F3F3" w:rsidR="000664BA" w:rsidRDefault="000664BA" w:rsidP="00511C18">
            <w:pPr>
              <w:widowControl/>
              <w:spacing w:after="240"/>
              <w:rPr>
                <w:rFonts w:eastAsia="Arial" w:cs="Arial"/>
                <w:snapToGrid/>
                <w:color w:val="000000"/>
              </w:rPr>
            </w:pPr>
            <w:r w:rsidRPr="00902182">
              <w:rPr>
                <w:rFonts w:eastAsia="Arial" w:cs="Arial"/>
                <w:snapToGrid/>
                <w:color w:val="000000"/>
              </w:rPr>
              <w:t>Continuous Improvement Process Equity Model</w:t>
            </w:r>
          </w:p>
          <w:p w14:paraId="5ECA90B2" w14:textId="3EA76433" w:rsidR="000664BA" w:rsidRDefault="000664BA" w:rsidP="00511C18">
            <w:pPr>
              <w:widowControl/>
              <w:spacing w:after="240"/>
              <w:rPr>
                <w:rFonts w:eastAsia="Arial" w:cs="Arial"/>
                <w:snapToGrid/>
                <w:color w:val="000000"/>
              </w:rPr>
            </w:pPr>
            <w:r w:rsidRPr="00902182">
              <w:rPr>
                <w:rFonts w:eastAsia="Arial" w:cs="Arial"/>
                <w:snapToGrid/>
                <w:color w:val="000000"/>
              </w:rPr>
              <w:t>Equity Leadership Reflection</w:t>
            </w:r>
          </w:p>
          <w:p w14:paraId="1C1DE5F1" w14:textId="3C41AB88" w:rsidR="000664BA" w:rsidRDefault="000664BA" w:rsidP="00511C18">
            <w:pPr>
              <w:widowControl/>
              <w:spacing w:after="240"/>
              <w:rPr>
                <w:rFonts w:eastAsia="Arial" w:cs="Arial"/>
                <w:snapToGrid/>
                <w:color w:val="000000"/>
              </w:rPr>
            </w:pPr>
            <w:r w:rsidRPr="00902182">
              <w:rPr>
                <w:rFonts w:eastAsia="Arial" w:cs="Arial"/>
                <w:snapToGrid/>
                <w:color w:val="000000"/>
              </w:rPr>
              <w:t>Equity Plan</w:t>
            </w:r>
          </w:p>
          <w:p w14:paraId="0EF7112D" w14:textId="36221E95" w:rsidR="001C034B" w:rsidRDefault="000664BA" w:rsidP="00511C18">
            <w:pPr>
              <w:widowControl/>
              <w:spacing w:after="240"/>
              <w:rPr>
                <w:rFonts w:eastAsia="Arial" w:cs="Arial"/>
                <w:snapToGrid/>
                <w:color w:val="000000"/>
              </w:rPr>
            </w:pPr>
            <w:r w:rsidRPr="00902182">
              <w:rPr>
                <w:rFonts w:eastAsia="Arial" w:cs="Arial"/>
                <w:snapToGrid/>
                <w:color w:val="000000"/>
              </w:rPr>
              <w:t>Focus on Equity</w:t>
            </w:r>
            <w:r w:rsidR="001C034B">
              <w:rPr>
                <w:rFonts w:eastAsia="Arial" w:cs="Arial"/>
                <w:snapToGrid/>
                <w:color w:val="000000"/>
              </w:rPr>
              <w:t xml:space="preserve"> Issue #1</w:t>
            </w:r>
          </w:p>
          <w:p w14:paraId="1ADF5C9A" w14:textId="3140232F" w:rsidR="001C034B" w:rsidRDefault="001C034B" w:rsidP="00511C18">
            <w:pPr>
              <w:widowControl/>
              <w:spacing w:after="240"/>
              <w:rPr>
                <w:rFonts w:eastAsia="Arial" w:cs="Arial"/>
                <w:snapToGrid/>
                <w:color w:val="000000"/>
              </w:rPr>
            </w:pPr>
            <w:r>
              <w:rPr>
                <w:rFonts w:eastAsia="Arial" w:cs="Arial"/>
                <w:snapToGrid/>
                <w:color w:val="000000"/>
              </w:rPr>
              <w:t>Focus on Equity Issue #</w:t>
            </w:r>
            <w:r w:rsidR="00F80FBD">
              <w:rPr>
                <w:rFonts w:eastAsia="Arial" w:cs="Arial"/>
                <w:snapToGrid/>
                <w:color w:val="000000"/>
              </w:rPr>
              <w:t>2</w:t>
            </w:r>
          </w:p>
          <w:p w14:paraId="420B09E5" w14:textId="18E53313" w:rsidR="000664BA" w:rsidRPr="00902182" w:rsidRDefault="001C034B" w:rsidP="00511C18">
            <w:pPr>
              <w:widowControl/>
              <w:spacing w:after="240"/>
              <w:rPr>
                <w:rFonts w:ascii="Calibri" w:hAnsi="Calibri" w:cs="Calibri"/>
                <w:snapToGrid/>
                <w:color w:val="0563C1"/>
                <w:sz w:val="22"/>
                <w:u w:val="single"/>
              </w:rPr>
            </w:pPr>
            <w:r>
              <w:rPr>
                <w:rFonts w:eastAsia="Arial" w:cs="Arial"/>
                <w:snapToGrid/>
                <w:color w:val="000000"/>
              </w:rPr>
              <w:t>Focus on Equity</w:t>
            </w:r>
            <w:r w:rsidR="000664BA" w:rsidRPr="00902182">
              <w:rPr>
                <w:rFonts w:eastAsia="Arial" w:cs="Arial"/>
                <w:snapToGrid/>
                <w:color w:val="000000"/>
              </w:rPr>
              <w:t xml:space="preserve"> Progress Report</w:t>
            </w:r>
          </w:p>
        </w:tc>
        <w:tc>
          <w:tcPr>
            <w:tcW w:w="2975" w:type="dxa"/>
            <w:vAlign w:val="center"/>
            <w:hideMark/>
          </w:tcPr>
          <w:p w14:paraId="3C876AA3" w14:textId="77777777" w:rsidR="000664BA" w:rsidRPr="00902182" w:rsidRDefault="000664BA" w:rsidP="00511C18">
            <w:pPr>
              <w:widowControl/>
              <w:rPr>
                <w:rFonts w:cs="Arial"/>
                <w:snapToGrid/>
                <w:color w:val="000000"/>
                <w:szCs w:val="24"/>
              </w:rPr>
            </w:pPr>
            <w:r w:rsidRPr="00902182">
              <w:rPr>
                <w:rFonts w:eastAsia="Arial" w:cs="Arial"/>
                <w:snapToGrid/>
                <w:color w:val="000000"/>
              </w:rPr>
              <w:t>English Learners &amp; African Americans</w:t>
            </w:r>
          </w:p>
        </w:tc>
      </w:tr>
      <w:tr w:rsidR="000664BA" w:rsidRPr="00902182" w14:paraId="4C3BF357" w14:textId="77777777" w:rsidTr="00F376D4">
        <w:trPr>
          <w:cantSplit/>
          <w:trHeight w:val="1025"/>
        </w:trPr>
        <w:tc>
          <w:tcPr>
            <w:tcW w:w="2785" w:type="dxa"/>
            <w:vAlign w:val="center"/>
            <w:hideMark/>
          </w:tcPr>
          <w:p w14:paraId="140BA308" w14:textId="77777777" w:rsidR="000664BA" w:rsidRPr="00902182" w:rsidRDefault="000664BA" w:rsidP="00511C18">
            <w:pPr>
              <w:widowControl/>
              <w:rPr>
                <w:rFonts w:cs="Arial"/>
                <w:snapToGrid/>
                <w:color w:val="000000"/>
                <w:szCs w:val="24"/>
              </w:rPr>
            </w:pPr>
            <w:r w:rsidRPr="00902182">
              <w:rPr>
                <w:rFonts w:eastAsia="Arial" w:cs="Arial"/>
                <w:snapToGrid/>
                <w:color w:val="000000"/>
              </w:rPr>
              <w:t xml:space="preserve">Provide professional learning in equity conscious teaching/leadership practices and </w:t>
            </w:r>
            <w:r w:rsidR="002A4508" w:rsidRPr="00902182">
              <w:rPr>
                <w:rFonts w:eastAsia="Arial" w:cs="Arial"/>
                <w:snapToGrid/>
                <w:color w:val="000000"/>
              </w:rPr>
              <w:t>continuous improvement</w:t>
            </w:r>
          </w:p>
        </w:tc>
        <w:tc>
          <w:tcPr>
            <w:tcW w:w="4140" w:type="dxa"/>
            <w:vAlign w:val="center"/>
            <w:hideMark/>
          </w:tcPr>
          <w:p w14:paraId="1D7A1D29" w14:textId="02C48010" w:rsidR="00D07282" w:rsidRPr="007C3C12" w:rsidRDefault="000664BA" w:rsidP="00511C18">
            <w:pPr>
              <w:widowControl/>
              <w:spacing w:before="240" w:after="240"/>
              <w:rPr>
                <w:rFonts w:cs="Arial"/>
                <w:snapToGrid/>
                <w:szCs w:val="24"/>
              </w:rPr>
            </w:pPr>
            <w:r w:rsidRPr="007C3C12">
              <w:rPr>
                <w:rFonts w:eastAsia="Arial" w:cs="Arial"/>
                <w:snapToGrid/>
                <w:szCs w:val="24"/>
              </w:rPr>
              <w:t>Equity video 1</w:t>
            </w:r>
            <w:r w:rsidR="007C3C12">
              <w:rPr>
                <w:rFonts w:eastAsia="Arial" w:cs="Arial"/>
                <w:snapToGrid/>
                <w:szCs w:val="24"/>
              </w:rPr>
              <w:t>:</w:t>
            </w:r>
            <w:r w:rsidRPr="007C3C12">
              <w:rPr>
                <w:rFonts w:eastAsia="Arial" w:cs="Arial"/>
                <w:snapToGrid/>
                <w:szCs w:val="24"/>
              </w:rPr>
              <w:t xml:space="preserve"> (</w:t>
            </w:r>
            <w:hyperlink r:id="rId18" w:tooltip="Equity video 1" w:history="1">
              <w:r w:rsidRPr="007C3C12">
                <w:rPr>
                  <w:rStyle w:val="Hyperlink"/>
                  <w:rFonts w:eastAsia="Arial" w:cs="Arial"/>
                  <w:snapToGrid/>
                  <w:szCs w:val="24"/>
                </w:rPr>
                <w:t>https://stream1.sdcoe.net/wc/ev1/</w:t>
              </w:r>
            </w:hyperlink>
            <w:r w:rsidRPr="007C3C12">
              <w:rPr>
                <w:rFonts w:eastAsia="Arial" w:cs="Arial"/>
                <w:snapToGrid/>
                <w:szCs w:val="24"/>
              </w:rPr>
              <w:t>)</w:t>
            </w:r>
            <w:r w:rsidR="00D07282" w:rsidRPr="007C3C12">
              <w:rPr>
                <w:rFonts w:cs="Arial"/>
                <w:snapToGrid/>
                <w:szCs w:val="24"/>
              </w:rPr>
              <w:t xml:space="preserve"> </w:t>
            </w:r>
          </w:p>
          <w:p w14:paraId="70BD6AA9" w14:textId="06BB75A4" w:rsidR="00D07282" w:rsidRDefault="00D07282" w:rsidP="00511C18">
            <w:pPr>
              <w:widowControl/>
              <w:spacing w:after="240"/>
              <w:rPr>
                <w:rFonts w:cs="Arial"/>
                <w:snapToGrid/>
                <w:color w:val="000000"/>
                <w:szCs w:val="24"/>
              </w:rPr>
            </w:pPr>
            <w:r w:rsidRPr="00F376D4">
              <w:rPr>
                <w:rFonts w:cs="Arial"/>
                <w:snapToGrid/>
                <w:szCs w:val="24"/>
              </w:rPr>
              <w:t>Equity video 2</w:t>
            </w:r>
            <w:r w:rsidR="00BD7E85">
              <w:rPr>
                <w:rFonts w:cs="Arial"/>
                <w:snapToGrid/>
                <w:szCs w:val="24"/>
              </w:rPr>
              <w:t>:</w:t>
            </w:r>
            <w:r w:rsidRPr="00D07282">
              <w:rPr>
                <w:rFonts w:cs="Arial"/>
                <w:snapToGrid/>
                <w:szCs w:val="24"/>
              </w:rPr>
              <w:t xml:space="preserve"> </w:t>
            </w:r>
            <w:r>
              <w:rPr>
                <w:rFonts w:cs="Arial"/>
                <w:snapToGrid/>
                <w:color w:val="000000"/>
                <w:szCs w:val="24"/>
              </w:rPr>
              <w:t>(</w:t>
            </w:r>
            <w:hyperlink r:id="rId19" w:tooltip="Equity Video 2" w:history="1">
              <w:r w:rsidR="004350DF" w:rsidRPr="004350DF">
                <w:rPr>
                  <w:rStyle w:val="Hyperlink"/>
                  <w:rFonts w:cs="Arial"/>
                  <w:snapToGrid/>
                  <w:szCs w:val="24"/>
                </w:rPr>
                <w:t>https://stream1.sdcoe.net/wc/ev2/</w:t>
              </w:r>
            </w:hyperlink>
            <w:r>
              <w:rPr>
                <w:rFonts w:cs="Arial"/>
                <w:snapToGrid/>
                <w:color w:val="000000"/>
                <w:szCs w:val="24"/>
              </w:rPr>
              <w:t>)</w:t>
            </w:r>
          </w:p>
          <w:p w14:paraId="2DB1BB26" w14:textId="609CC9DA" w:rsidR="000664BA" w:rsidRPr="007C3C12" w:rsidRDefault="00D07282" w:rsidP="00511C18">
            <w:pPr>
              <w:widowControl/>
              <w:spacing w:after="240"/>
              <w:rPr>
                <w:rFonts w:cs="Arial"/>
                <w:snapToGrid/>
                <w:color w:val="0563C1"/>
                <w:szCs w:val="24"/>
              </w:rPr>
            </w:pPr>
            <w:r w:rsidRPr="007C3C12">
              <w:rPr>
                <w:rFonts w:eastAsia="Arial" w:cs="Arial"/>
                <w:snapToGrid/>
                <w:szCs w:val="24"/>
              </w:rPr>
              <w:t>Equity video 3</w:t>
            </w:r>
            <w:r w:rsidR="00BD7E85">
              <w:rPr>
                <w:rFonts w:eastAsia="Arial" w:cs="Arial"/>
                <w:snapToGrid/>
                <w:szCs w:val="24"/>
              </w:rPr>
              <w:t>:</w:t>
            </w:r>
            <w:r w:rsidRPr="007C3C12">
              <w:rPr>
                <w:rFonts w:eastAsia="Arial" w:cs="Arial"/>
                <w:snapToGrid/>
                <w:szCs w:val="24"/>
              </w:rPr>
              <w:t xml:space="preserve"> (</w:t>
            </w:r>
            <w:hyperlink r:id="rId20" w:tooltip="Equity video 3" w:history="1">
              <w:r w:rsidRPr="007C3C12">
                <w:rPr>
                  <w:rStyle w:val="Hyperlink"/>
                  <w:rFonts w:eastAsia="Arial" w:cs="Arial"/>
                  <w:snapToGrid/>
                  <w:szCs w:val="24"/>
                </w:rPr>
                <w:t>https://stream1.sdcoe.net/wc/ev3/</w:t>
              </w:r>
            </w:hyperlink>
            <w:r w:rsidRPr="007C3C12">
              <w:rPr>
                <w:rFonts w:eastAsia="Arial" w:cs="Arial"/>
                <w:snapToGrid/>
                <w:szCs w:val="24"/>
              </w:rPr>
              <w:t>)</w:t>
            </w:r>
          </w:p>
        </w:tc>
        <w:tc>
          <w:tcPr>
            <w:tcW w:w="2975" w:type="dxa"/>
            <w:vAlign w:val="center"/>
            <w:hideMark/>
          </w:tcPr>
          <w:p w14:paraId="16656E0F" w14:textId="77777777" w:rsidR="000664BA" w:rsidRPr="00902182" w:rsidRDefault="000664BA" w:rsidP="00511C18">
            <w:pPr>
              <w:widowControl/>
              <w:rPr>
                <w:rFonts w:cs="Arial"/>
                <w:snapToGrid/>
                <w:color w:val="000000"/>
                <w:szCs w:val="24"/>
              </w:rPr>
            </w:pPr>
            <w:r w:rsidRPr="00902182">
              <w:rPr>
                <w:rFonts w:eastAsia="Arial" w:cs="Arial"/>
                <w:snapToGrid/>
                <w:color w:val="000000"/>
              </w:rPr>
              <w:t>English Learners &amp; African Americans</w:t>
            </w:r>
          </w:p>
        </w:tc>
      </w:tr>
      <w:tr w:rsidR="000664BA" w:rsidRPr="00902182" w14:paraId="5D69C37A" w14:textId="77777777" w:rsidTr="00F376D4">
        <w:trPr>
          <w:cantSplit/>
          <w:trHeight w:val="2385"/>
        </w:trPr>
        <w:tc>
          <w:tcPr>
            <w:tcW w:w="2785" w:type="dxa"/>
            <w:vAlign w:val="center"/>
            <w:hideMark/>
          </w:tcPr>
          <w:p w14:paraId="32F32BCB" w14:textId="77777777" w:rsidR="000664BA" w:rsidRPr="00902182" w:rsidRDefault="000664BA" w:rsidP="00511C18">
            <w:pPr>
              <w:widowControl/>
              <w:rPr>
                <w:rFonts w:cs="Arial"/>
                <w:snapToGrid/>
                <w:color w:val="000000"/>
                <w:szCs w:val="24"/>
              </w:rPr>
            </w:pPr>
            <w:r w:rsidRPr="00902182">
              <w:rPr>
                <w:rFonts w:eastAsia="Arial" w:cs="Arial"/>
                <w:snapToGrid/>
                <w:color w:val="000000"/>
              </w:rPr>
              <w:t xml:space="preserve">Provide coaching support to manage change in the continuous improvement action periods </w:t>
            </w:r>
          </w:p>
        </w:tc>
        <w:tc>
          <w:tcPr>
            <w:tcW w:w="4140" w:type="dxa"/>
            <w:vAlign w:val="center"/>
            <w:hideMark/>
          </w:tcPr>
          <w:p w14:paraId="35E3E6C2" w14:textId="79F88FA7" w:rsidR="00626A44" w:rsidRPr="007C3C12" w:rsidRDefault="000664BA" w:rsidP="00511C18">
            <w:pPr>
              <w:widowControl/>
              <w:rPr>
                <w:rFonts w:cs="Arial"/>
                <w:snapToGrid/>
                <w:szCs w:val="24"/>
              </w:rPr>
            </w:pPr>
            <w:r w:rsidRPr="007C3C12">
              <w:rPr>
                <w:rFonts w:cs="Arial"/>
                <w:snapToGrid/>
              </w:rPr>
              <w:t>Equity video</w:t>
            </w:r>
            <w:r w:rsidR="00D07282" w:rsidRPr="007C3C12">
              <w:rPr>
                <w:rFonts w:cs="Arial"/>
                <w:snapToGrid/>
              </w:rPr>
              <w:t xml:space="preserve"> </w:t>
            </w:r>
            <w:r w:rsidR="00626A44" w:rsidRPr="007C3C12">
              <w:rPr>
                <w:rFonts w:cs="Arial"/>
                <w:snapToGrid/>
              </w:rPr>
              <w:t>4</w:t>
            </w:r>
            <w:r w:rsidR="00BD7E85">
              <w:rPr>
                <w:rFonts w:cs="Arial"/>
                <w:snapToGrid/>
              </w:rPr>
              <w:t>:</w:t>
            </w:r>
            <w:r w:rsidRPr="007C3C12">
              <w:rPr>
                <w:rFonts w:cs="Arial"/>
                <w:snapToGrid/>
              </w:rPr>
              <w:t xml:space="preserve"> </w:t>
            </w:r>
            <w:r w:rsidR="00626A44" w:rsidRPr="007C3C12">
              <w:rPr>
                <w:rFonts w:cs="Arial"/>
                <w:snapToGrid/>
                <w:szCs w:val="24"/>
              </w:rPr>
              <w:t>(</w:t>
            </w:r>
            <w:hyperlink r:id="rId21" w:tooltip="Equity video 4" w:history="1">
              <w:r w:rsidR="00626A44" w:rsidRPr="007C3C12">
                <w:rPr>
                  <w:rStyle w:val="Hyperlink"/>
                  <w:rFonts w:cs="Arial"/>
                  <w:snapToGrid/>
                  <w:szCs w:val="24"/>
                </w:rPr>
                <w:t>https://stream1.sdcoe.net/wc/ev4/</w:t>
              </w:r>
            </w:hyperlink>
            <w:r w:rsidR="00626A44" w:rsidRPr="007C3C12">
              <w:rPr>
                <w:rFonts w:cs="Arial"/>
                <w:snapToGrid/>
                <w:szCs w:val="24"/>
              </w:rPr>
              <w:t xml:space="preserve">) </w:t>
            </w:r>
          </w:p>
        </w:tc>
        <w:tc>
          <w:tcPr>
            <w:tcW w:w="2975" w:type="dxa"/>
            <w:vAlign w:val="center"/>
            <w:hideMark/>
          </w:tcPr>
          <w:p w14:paraId="03187C6B" w14:textId="77777777" w:rsidR="000664BA" w:rsidRPr="007C3C12" w:rsidRDefault="000664BA" w:rsidP="00511C18">
            <w:pPr>
              <w:widowControl/>
              <w:rPr>
                <w:rFonts w:cs="Arial"/>
                <w:snapToGrid/>
                <w:szCs w:val="24"/>
              </w:rPr>
            </w:pPr>
            <w:r w:rsidRPr="007C3C12">
              <w:rPr>
                <w:rFonts w:eastAsia="Arial" w:cs="Arial"/>
                <w:snapToGrid/>
              </w:rPr>
              <w:t>English Learners &amp; African Americans</w:t>
            </w:r>
          </w:p>
        </w:tc>
      </w:tr>
    </w:tbl>
    <w:p w14:paraId="3D7CF86A" w14:textId="19355915" w:rsidR="000664BA" w:rsidRPr="004C6BF7" w:rsidRDefault="000664BA" w:rsidP="00511C18">
      <w:pPr>
        <w:pStyle w:val="Heading4"/>
        <w:jc w:val="center"/>
      </w:pPr>
      <w:r w:rsidRPr="004C6BF7">
        <w:lastRenderedPageBreak/>
        <w:t>Santa Clara COE Equity Lead</w:t>
      </w:r>
    </w:p>
    <w:p w14:paraId="7E52C3DC" w14:textId="77777777" w:rsidR="00106D14" w:rsidRDefault="000664BA" w:rsidP="00511C18">
      <w:pPr>
        <w:spacing w:before="240" w:after="240"/>
      </w:pPr>
      <w:r>
        <w:t xml:space="preserve">The Santa Clara COE Equity Lead conducted its equity activities based on the MTSS model. During the first year of the CEPIP, Santa Clara COE focused its efforts on </w:t>
      </w:r>
      <w:r w:rsidR="008265F3">
        <w:t>T</w:t>
      </w:r>
      <w:r>
        <w:t>iers 1 and 2 by developing online training courses, professional learning, coaching, and in-person support. These activities were focused on the African American, English Leaners, and students with disabilities targeted student groups. Table 3 shows the Santa Clara COE Equity Lead activities conducted and resources developed during the first CEPIP operation</w:t>
      </w:r>
      <w:r w:rsidR="00BC6D43">
        <w:t>al</w:t>
      </w:r>
      <w:r>
        <w:t xml:space="preserve"> year of July 1, 2018</w:t>
      </w:r>
      <w:r w:rsidR="00C07F68">
        <w:t>,</w:t>
      </w:r>
      <w:r w:rsidR="000137D9">
        <w:t xml:space="preserve"> to </w:t>
      </w:r>
      <w:r>
        <w:t>June 30, 2019.</w:t>
      </w:r>
    </w:p>
    <w:p w14:paraId="4830C875" w14:textId="26CDD726" w:rsidR="007C3C12" w:rsidRDefault="000664BA" w:rsidP="00511C18">
      <w:pPr>
        <w:spacing w:before="240" w:after="240"/>
      </w:pPr>
      <w:r>
        <w:t xml:space="preserve">Table 3 Santa Clara </w:t>
      </w:r>
      <w:r w:rsidR="008265F3">
        <w:t xml:space="preserve">COE </w:t>
      </w:r>
      <w:r>
        <w:t>Equity Lead Agency’s activities conducted and resources developed during the first CEPIP operation</w:t>
      </w:r>
      <w:r w:rsidR="00BC6D43">
        <w:t>al</w:t>
      </w:r>
      <w:r>
        <w:t xml:space="preserve"> year 2018–19</w:t>
      </w:r>
      <w:r w:rsidR="007C3C12">
        <w:br w:type="page"/>
      </w:r>
    </w:p>
    <w:p w14:paraId="24480B59" w14:textId="34FF9514" w:rsidR="00E35616" w:rsidRPr="00E35616" w:rsidRDefault="006308A4" w:rsidP="00511C18">
      <w:pPr>
        <w:spacing w:after="240"/>
        <w:rPr>
          <w:b/>
        </w:rPr>
      </w:pPr>
      <w:r w:rsidRPr="00E35616">
        <w:rPr>
          <w:b/>
        </w:rPr>
        <w:lastRenderedPageBreak/>
        <w:t xml:space="preserve">Table </w:t>
      </w:r>
      <w:r w:rsidR="00DA4711" w:rsidRPr="00E35616">
        <w:rPr>
          <w:b/>
        </w:rPr>
        <w:t>3</w:t>
      </w:r>
      <w:r w:rsidRPr="00E35616">
        <w:rPr>
          <w:b/>
        </w:rPr>
        <w:t xml:space="preserve"> Activities Conducted and Resources Developed by the Santa Clara COE Equity Lead Agency during 2018–19 CEPIP Operation Year</w:t>
      </w:r>
    </w:p>
    <w:tbl>
      <w:tblPr>
        <w:tblStyle w:val="TableGrid"/>
        <w:tblW w:w="0" w:type="auto"/>
        <w:tblLayout w:type="fixed"/>
        <w:tblLook w:val="04A0" w:firstRow="1" w:lastRow="0" w:firstColumn="1" w:lastColumn="0" w:noHBand="0" w:noVBand="1"/>
        <w:tblDescription w:val="This table listed the activities and resources developed by the Santa Clara COE Equity Lead Agency during 2018–19 CEPIP operation year. The activities and resources are listed by targeted student group."/>
      </w:tblPr>
      <w:tblGrid>
        <w:gridCol w:w="2605"/>
        <w:gridCol w:w="3600"/>
        <w:gridCol w:w="3145"/>
      </w:tblGrid>
      <w:tr w:rsidR="00017C54" w14:paraId="220EFFA2" w14:textId="77777777" w:rsidTr="007C3C12">
        <w:trPr>
          <w:cantSplit/>
          <w:trHeight w:val="720"/>
          <w:tblHeader/>
        </w:trPr>
        <w:tc>
          <w:tcPr>
            <w:tcW w:w="2605" w:type="dxa"/>
            <w:shd w:val="clear" w:color="auto" w:fill="D9D9D9" w:themeFill="background1" w:themeFillShade="D9"/>
            <w:vAlign w:val="center"/>
          </w:tcPr>
          <w:p w14:paraId="6C11D4E3" w14:textId="1F168152" w:rsidR="00017C54" w:rsidRDefault="00017C54" w:rsidP="00511C18">
            <w:pPr>
              <w:jc w:val="center"/>
              <w:rPr>
                <w:b/>
              </w:rPr>
            </w:pPr>
            <w:r>
              <w:rPr>
                <w:b/>
              </w:rPr>
              <w:t>Activities Conducted</w:t>
            </w:r>
          </w:p>
        </w:tc>
        <w:tc>
          <w:tcPr>
            <w:tcW w:w="3600" w:type="dxa"/>
            <w:shd w:val="clear" w:color="auto" w:fill="D9D9D9" w:themeFill="background1" w:themeFillShade="D9"/>
            <w:vAlign w:val="center"/>
          </w:tcPr>
          <w:p w14:paraId="04632EB8" w14:textId="3D6BDE29" w:rsidR="00017C54" w:rsidRDefault="00017C54" w:rsidP="00511C18">
            <w:pPr>
              <w:jc w:val="center"/>
              <w:rPr>
                <w:b/>
              </w:rPr>
            </w:pPr>
            <w:r>
              <w:rPr>
                <w:b/>
              </w:rPr>
              <w:t>Resources Disseminated Implemented</w:t>
            </w:r>
          </w:p>
        </w:tc>
        <w:tc>
          <w:tcPr>
            <w:tcW w:w="3145" w:type="dxa"/>
            <w:shd w:val="clear" w:color="auto" w:fill="D9D9D9" w:themeFill="background1" w:themeFillShade="D9"/>
            <w:vAlign w:val="center"/>
          </w:tcPr>
          <w:p w14:paraId="0320F2CB" w14:textId="6E36ADA6" w:rsidR="00017C54" w:rsidRDefault="00017C54" w:rsidP="00511C18">
            <w:pPr>
              <w:jc w:val="center"/>
              <w:rPr>
                <w:b/>
              </w:rPr>
            </w:pPr>
            <w:r>
              <w:rPr>
                <w:b/>
              </w:rPr>
              <w:t>Targeted Student Group</w:t>
            </w:r>
          </w:p>
        </w:tc>
      </w:tr>
      <w:tr w:rsidR="00017C54" w14:paraId="62F2500E" w14:textId="77777777" w:rsidTr="007C3C12">
        <w:trPr>
          <w:cantSplit/>
        </w:trPr>
        <w:tc>
          <w:tcPr>
            <w:tcW w:w="2605" w:type="dxa"/>
            <w:vAlign w:val="center"/>
          </w:tcPr>
          <w:p w14:paraId="3471B1F0" w14:textId="74469579" w:rsidR="00017C54" w:rsidRDefault="00017C54" w:rsidP="00511C18">
            <w:pPr>
              <w:rPr>
                <w:b/>
              </w:rPr>
            </w:pPr>
            <w:r w:rsidRPr="00696945">
              <w:rPr>
                <w:rFonts w:eastAsiaTheme="minorEastAsia" w:cs="Arial"/>
                <w:snapToGrid/>
              </w:rPr>
              <w:t>Institute: Co-Teaching for Equity</w:t>
            </w:r>
          </w:p>
        </w:tc>
        <w:tc>
          <w:tcPr>
            <w:tcW w:w="3600" w:type="dxa"/>
            <w:vAlign w:val="center"/>
          </w:tcPr>
          <w:p w14:paraId="5156C327" w14:textId="20CDCDAA" w:rsidR="00D31172" w:rsidRPr="007C3C12" w:rsidRDefault="00017C54" w:rsidP="00511C18">
            <w:pPr>
              <w:kinsoku w:val="0"/>
              <w:overflowPunct w:val="0"/>
              <w:autoSpaceDE w:val="0"/>
              <w:autoSpaceDN w:val="0"/>
              <w:adjustRightInd w:val="0"/>
              <w:spacing w:before="240" w:after="240"/>
              <w:ind w:left="-18"/>
              <w:rPr>
                <w:rFonts w:eastAsiaTheme="minorEastAsia" w:cs="Arial"/>
                <w:snapToGrid/>
              </w:rPr>
            </w:pPr>
            <w:r w:rsidRPr="007C3C12">
              <w:rPr>
                <w:rFonts w:eastAsiaTheme="minorEastAsia" w:cs="Arial"/>
                <w:snapToGrid/>
              </w:rPr>
              <w:t xml:space="preserve">Link to recording: </w:t>
            </w:r>
            <w:r w:rsidR="00BD7E85">
              <w:rPr>
                <w:rFonts w:eastAsiaTheme="minorEastAsia" w:cs="Arial"/>
                <w:snapToGrid/>
              </w:rPr>
              <w:t>(</w:t>
            </w:r>
            <w:hyperlink r:id="rId22" w:tooltip="Institute: Co-Teaching for Equity Video Recording" w:history="1">
              <w:r w:rsidR="00BD7E85" w:rsidRPr="0055086D">
                <w:rPr>
                  <w:rStyle w:val="Hyperlink"/>
                  <w:rFonts w:eastAsiaTheme="minorEastAsia" w:cs="Arial"/>
                  <w:snapToGrid/>
                </w:rPr>
                <w:t>https://www.youtube.com/watch?v=UwRsuPP9HNE</w:t>
              </w:r>
            </w:hyperlink>
            <w:r w:rsidR="00BD7E85">
              <w:rPr>
                <w:rFonts w:eastAsiaTheme="minorEastAsia" w:cs="Arial"/>
                <w:snapToGrid/>
              </w:rPr>
              <w:t>)</w:t>
            </w:r>
          </w:p>
          <w:p w14:paraId="70FEFB6E" w14:textId="33BCA384" w:rsidR="00017C54" w:rsidRDefault="00017C54" w:rsidP="00511C18">
            <w:pPr>
              <w:kinsoku w:val="0"/>
              <w:overflowPunct w:val="0"/>
              <w:autoSpaceDE w:val="0"/>
              <w:autoSpaceDN w:val="0"/>
              <w:adjustRightInd w:val="0"/>
              <w:spacing w:before="240" w:after="240"/>
              <w:ind w:left="-18"/>
              <w:rPr>
                <w:b/>
              </w:rPr>
            </w:pPr>
            <w:r w:rsidRPr="00696945">
              <w:rPr>
                <w:rFonts w:eastAsiaTheme="minorEastAsia" w:cs="Arial"/>
                <w:snapToGrid/>
              </w:rPr>
              <w:t xml:space="preserve">Link to PowerPoint slides: </w:t>
            </w:r>
            <w:r w:rsidR="00BD7E85">
              <w:rPr>
                <w:rFonts w:eastAsiaTheme="minorEastAsia" w:cs="Arial"/>
                <w:snapToGrid/>
              </w:rPr>
              <w:t>(</w:t>
            </w:r>
            <w:hyperlink r:id="rId23" w:tooltip="Institute: Co-Teaching for Equity Slide Deck" w:history="1">
              <w:r w:rsidR="00BD7E85" w:rsidRPr="0055086D">
                <w:rPr>
                  <w:rStyle w:val="Hyperlink"/>
                  <w:rFonts w:eastAsiaTheme="minorEastAsia" w:cs="Arial"/>
                  <w:snapToGrid/>
                </w:rPr>
                <w:t>http://bit.ly/2lYAlfY</w:t>
              </w:r>
            </w:hyperlink>
            <w:r w:rsidR="00BD7E85">
              <w:rPr>
                <w:rFonts w:eastAsiaTheme="minorEastAsia" w:cs="Arial"/>
                <w:snapToGrid/>
              </w:rPr>
              <w:t>)</w:t>
            </w:r>
          </w:p>
        </w:tc>
        <w:tc>
          <w:tcPr>
            <w:tcW w:w="3145" w:type="dxa"/>
            <w:vAlign w:val="center"/>
          </w:tcPr>
          <w:p w14:paraId="08C404A1" w14:textId="15C99893" w:rsidR="00017C54" w:rsidRDefault="00017C54" w:rsidP="00511C18">
            <w:pPr>
              <w:rPr>
                <w:b/>
              </w:rPr>
            </w:pPr>
            <w:r w:rsidRPr="00696945">
              <w:rPr>
                <w:rFonts w:eastAsiaTheme="minorEastAsia" w:cs="Arial"/>
                <w:snapToGrid/>
              </w:rPr>
              <w:t>All Students</w:t>
            </w:r>
          </w:p>
        </w:tc>
      </w:tr>
      <w:tr w:rsidR="00017C54" w14:paraId="55E87152" w14:textId="77777777" w:rsidTr="007C3C12">
        <w:trPr>
          <w:cantSplit/>
        </w:trPr>
        <w:tc>
          <w:tcPr>
            <w:tcW w:w="2605" w:type="dxa"/>
            <w:vAlign w:val="center"/>
          </w:tcPr>
          <w:p w14:paraId="04F61270" w14:textId="7E33B655" w:rsidR="00017C54" w:rsidRDefault="00017C54" w:rsidP="00511C18">
            <w:pPr>
              <w:rPr>
                <w:b/>
              </w:rPr>
            </w:pPr>
            <w:r w:rsidRPr="00696945">
              <w:rPr>
                <w:rFonts w:eastAsiaTheme="minorEastAsia" w:cs="Arial"/>
                <w:snapToGrid/>
              </w:rPr>
              <w:t>Institute: Culturally Sustaining Teaching Equity in Action</w:t>
            </w:r>
          </w:p>
        </w:tc>
        <w:tc>
          <w:tcPr>
            <w:tcW w:w="3600" w:type="dxa"/>
            <w:vAlign w:val="center"/>
          </w:tcPr>
          <w:p w14:paraId="4E5D94C3" w14:textId="5EDDA3D7" w:rsidR="00D31172" w:rsidRDefault="00017C54" w:rsidP="00511C18">
            <w:pPr>
              <w:kinsoku w:val="0"/>
              <w:overflowPunct w:val="0"/>
              <w:autoSpaceDE w:val="0"/>
              <w:autoSpaceDN w:val="0"/>
              <w:adjustRightInd w:val="0"/>
              <w:spacing w:before="240" w:after="240"/>
              <w:ind w:left="-18"/>
              <w:rPr>
                <w:rFonts w:eastAsiaTheme="minorEastAsia" w:cs="Arial"/>
                <w:snapToGrid/>
              </w:rPr>
            </w:pPr>
            <w:r w:rsidRPr="00696945">
              <w:rPr>
                <w:rFonts w:eastAsiaTheme="minorEastAsia" w:cs="Arial"/>
                <w:snapToGrid/>
              </w:rPr>
              <w:t xml:space="preserve">Link to recording: </w:t>
            </w:r>
            <w:r w:rsidR="00BD7E85">
              <w:rPr>
                <w:rFonts w:eastAsiaTheme="minorEastAsia" w:cs="Arial"/>
                <w:snapToGrid/>
              </w:rPr>
              <w:t>(</w:t>
            </w:r>
            <w:hyperlink r:id="rId24" w:tooltip="Institute: Culturally Sustaining Teaching Equity in Action Video Recording" w:history="1">
              <w:r w:rsidR="00BD7E85" w:rsidRPr="0055086D">
                <w:rPr>
                  <w:rStyle w:val="Hyperlink"/>
                  <w:rFonts w:eastAsiaTheme="minorEastAsia"/>
                </w:rPr>
                <w:t>https://www.youtube.com/watch?v=amfZ4nZNSfE</w:t>
              </w:r>
            </w:hyperlink>
            <w:r w:rsidR="00BD7E85">
              <w:rPr>
                <w:rFonts w:eastAsiaTheme="minorEastAsia"/>
              </w:rPr>
              <w:t>)</w:t>
            </w:r>
          </w:p>
          <w:p w14:paraId="11B33C02" w14:textId="5ECE4FE1" w:rsidR="00017C54" w:rsidRDefault="00017C54" w:rsidP="00511C18">
            <w:pPr>
              <w:kinsoku w:val="0"/>
              <w:overflowPunct w:val="0"/>
              <w:autoSpaceDE w:val="0"/>
              <w:autoSpaceDN w:val="0"/>
              <w:adjustRightInd w:val="0"/>
              <w:spacing w:before="240" w:after="240"/>
              <w:ind w:left="-18"/>
              <w:rPr>
                <w:b/>
              </w:rPr>
            </w:pPr>
            <w:r w:rsidRPr="00696945">
              <w:rPr>
                <w:rFonts w:eastAsiaTheme="minorEastAsia" w:cs="Arial"/>
                <w:snapToGrid/>
              </w:rPr>
              <w:t xml:space="preserve">Link to PowerPoint slides: </w:t>
            </w:r>
            <w:r w:rsidR="00BD7E85">
              <w:rPr>
                <w:rFonts w:eastAsiaTheme="minorEastAsia" w:cs="Arial"/>
                <w:snapToGrid/>
              </w:rPr>
              <w:t>(</w:t>
            </w:r>
            <w:hyperlink r:id="rId25" w:tooltip="Institute: Culturally Sustaining Teaching Equity in Action Slide Deck" w:history="1">
              <w:r w:rsidR="00BD7E85" w:rsidRPr="0055086D">
                <w:rPr>
                  <w:rStyle w:val="Hyperlink"/>
                  <w:rFonts w:eastAsiaTheme="minorEastAsia" w:cs="Arial"/>
                  <w:snapToGrid/>
                </w:rPr>
                <w:t>http://bit.ly/2msyK28</w:t>
              </w:r>
            </w:hyperlink>
            <w:r w:rsidR="00BD7E85">
              <w:rPr>
                <w:rFonts w:eastAsiaTheme="minorEastAsia" w:cs="Arial"/>
                <w:snapToGrid/>
              </w:rPr>
              <w:t>)</w:t>
            </w:r>
          </w:p>
        </w:tc>
        <w:tc>
          <w:tcPr>
            <w:tcW w:w="3145" w:type="dxa"/>
            <w:vAlign w:val="center"/>
          </w:tcPr>
          <w:p w14:paraId="6F2E14FF" w14:textId="005CBBB5" w:rsidR="00017C54" w:rsidRDefault="00017C54" w:rsidP="00511C18">
            <w:pPr>
              <w:rPr>
                <w:b/>
              </w:rPr>
            </w:pPr>
            <w:r w:rsidRPr="00696945">
              <w:rPr>
                <w:rFonts w:eastAsiaTheme="minorEastAsia" w:cs="Arial"/>
                <w:snapToGrid/>
              </w:rPr>
              <w:t>All Students</w:t>
            </w:r>
          </w:p>
        </w:tc>
      </w:tr>
      <w:tr w:rsidR="00017C54" w14:paraId="5408D00C" w14:textId="77777777" w:rsidTr="007C3C12">
        <w:trPr>
          <w:cantSplit/>
        </w:trPr>
        <w:tc>
          <w:tcPr>
            <w:tcW w:w="2605" w:type="dxa"/>
            <w:vAlign w:val="center"/>
          </w:tcPr>
          <w:p w14:paraId="51504C33" w14:textId="0B090D85" w:rsidR="00017C54" w:rsidRDefault="00017C54" w:rsidP="00511C18">
            <w:pPr>
              <w:rPr>
                <w:b/>
              </w:rPr>
            </w:pPr>
            <w:r w:rsidRPr="00696945">
              <w:rPr>
                <w:rFonts w:eastAsiaTheme="minorEastAsia" w:cs="Arial"/>
                <w:snapToGrid/>
              </w:rPr>
              <w:t>Course: Mission &amp; Commitment</w:t>
            </w:r>
          </w:p>
        </w:tc>
        <w:tc>
          <w:tcPr>
            <w:tcW w:w="3600" w:type="dxa"/>
            <w:vAlign w:val="center"/>
          </w:tcPr>
          <w:p w14:paraId="5ACDD8D0" w14:textId="45041B1B" w:rsidR="00017C54" w:rsidRDefault="00017C54" w:rsidP="00511C18">
            <w:pPr>
              <w:spacing w:before="240" w:after="240"/>
              <w:ind w:left="-18"/>
              <w:rPr>
                <w:b/>
              </w:rPr>
            </w:pPr>
            <w:r w:rsidRPr="00696945">
              <w:rPr>
                <w:rFonts w:eastAsiaTheme="minorEastAsia" w:cs="Arial"/>
                <w:snapToGrid/>
              </w:rPr>
              <w:t xml:space="preserve">Link: </w:t>
            </w:r>
            <w:r w:rsidR="00BD7E85">
              <w:rPr>
                <w:rFonts w:eastAsiaTheme="minorEastAsia" w:cs="Arial"/>
                <w:snapToGrid/>
              </w:rPr>
              <w:t>(</w:t>
            </w:r>
            <w:hyperlink r:id="rId26" w:tooltip="Course: Mission &amp; Commitment" w:history="1">
              <w:r w:rsidR="00BD7E85" w:rsidRPr="0055086D">
                <w:rPr>
                  <w:rStyle w:val="Hyperlink"/>
                  <w:rFonts w:eastAsiaTheme="minorEastAsia" w:cs="Arial"/>
                  <w:snapToGrid/>
                </w:rPr>
                <w:t>https://sccoe.instructure.com/courses/611</w:t>
              </w:r>
            </w:hyperlink>
            <w:r w:rsidR="00BD7E85">
              <w:rPr>
                <w:rFonts w:eastAsiaTheme="minorEastAsia" w:cs="Arial"/>
                <w:snapToGrid/>
              </w:rPr>
              <w:t>)</w:t>
            </w:r>
          </w:p>
        </w:tc>
        <w:tc>
          <w:tcPr>
            <w:tcW w:w="3145" w:type="dxa"/>
            <w:vAlign w:val="center"/>
          </w:tcPr>
          <w:p w14:paraId="10883292" w14:textId="5769A8E5" w:rsidR="00017C54" w:rsidRDefault="00017C54" w:rsidP="00511C18">
            <w:pPr>
              <w:rPr>
                <w:b/>
              </w:rPr>
            </w:pPr>
            <w:r w:rsidRPr="00696945">
              <w:rPr>
                <w:rFonts w:eastAsiaTheme="minorEastAsia" w:cs="Arial"/>
                <w:snapToGrid/>
              </w:rPr>
              <w:t>All Students</w:t>
            </w:r>
          </w:p>
        </w:tc>
      </w:tr>
      <w:tr w:rsidR="00017C54" w14:paraId="6D7E4509" w14:textId="77777777" w:rsidTr="007C3C12">
        <w:trPr>
          <w:cantSplit/>
        </w:trPr>
        <w:tc>
          <w:tcPr>
            <w:tcW w:w="2605" w:type="dxa"/>
            <w:vAlign w:val="center"/>
          </w:tcPr>
          <w:p w14:paraId="2A50D77C" w14:textId="5013D764" w:rsidR="00017C54" w:rsidRDefault="00017C54" w:rsidP="00511C18">
            <w:pPr>
              <w:rPr>
                <w:b/>
              </w:rPr>
            </w:pPr>
            <w:r w:rsidRPr="00696945">
              <w:rPr>
                <w:rFonts w:eastAsiaTheme="minorEastAsia" w:cs="Arial"/>
                <w:snapToGrid/>
              </w:rPr>
              <w:t>Course: Building Collaborative Teams</w:t>
            </w:r>
          </w:p>
        </w:tc>
        <w:tc>
          <w:tcPr>
            <w:tcW w:w="3600" w:type="dxa"/>
            <w:vAlign w:val="center"/>
          </w:tcPr>
          <w:p w14:paraId="6F12986F" w14:textId="1CE070E6" w:rsidR="00017C54" w:rsidRDefault="00017C54" w:rsidP="00511C18">
            <w:pPr>
              <w:spacing w:before="240" w:after="240"/>
              <w:ind w:left="-18"/>
              <w:rPr>
                <w:b/>
              </w:rPr>
            </w:pPr>
            <w:r w:rsidRPr="00696945">
              <w:rPr>
                <w:rFonts w:eastAsiaTheme="minorEastAsia" w:cs="Arial"/>
                <w:snapToGrid/>
              </w:rPr>
              <w:t xml:space="preserve">Link: </w:t>
            </w:r>
            <w:r w:rsidR="005E1399">
              <w:rPr>
                <w:rFonts w:eastAsiaTheme="minorEastAsia" w:cs="Arial"/>
                <w:snapToGrid/>
              </w:rPr>
              <w:t>(</w:t>
            </w:r>
            <w:hyperlink r:id="rId27" w:tooltip="Course: Building Collaborative Teams" w:history="1">
              <w:r w:rsidR="005E1399" w:rsidRPr="0055086D">
                <w:rPr>
                  <w:rStyle w:val="Hyperlink"/>
                  <w:rFonts w:eastAsiaTheme="minorEastAsia" w:cs="Arial"/>
                  <w:snapToGrid/>
                </w:rPr>
                <w:t>https://sccoe.instructure.com/courses/589</w:t>
              </w:r>
            </w:hyperlink>
            <w:r w:rsidR="005E1399" w:rsidRPr="005E1399">
              <w:rPr>
                <w:rStyle w:val="Hyperlink"/>
                <w:rFonts w:eastAsiaTheme="minorEastAsia"/>
                <w:color w:val="auto"/>
                <w:u w:val="none"/>
              </w:rPr>
              <w:t>)</w:t>
            </w:r>
          </w:p>
        </w:tc>
        <w:tc>
          <w:tcPr>
            <w:tcW w:w="3145" w:type="dxa"/>
            <w:vAlign w:val="center"/>
          </w:tcPr>
          <w:p w14:paraId="7A67719B" w14:textId="069E7523" w:rsidR="00017C54" w:rsidRDefault="00017C54" w:rsidP="00511C18">
            <w:pPr>
              <w:rPr>
                <w:b/>
              </w:rPr>
            </w:pPr>
            <w:r w:rsidRPr="00696945">
              <w:rPr>
                <w:rFonts w:eastAsiaTheme="minorEastAsia" w:cs="Arial"/>
                <w:snapToGrid/>
              </w:rPr>
              <w:t>All Students</w:t>
            </w:r>
          </w:p>
        </w:tc>
      </w:tr>
      <w:tr w:rsidR="00017C54" w14:paraId="108DFE1E" w14:textId="77777777" w:rsidTr="007C3C12">
        <w:trPr>
          <w:cantSplit/>
        </w:trPr>
        <w:tc>
          <w:tcPr>
            <w:tcW w:w="2605" w:type="dxa"/>
            <w:vAlign w:val="center"/>
          </w:tcPr>
          <w:p w14:paraId="7D91C07B" w14:textId="731E1B6E" w:rsidR="00017C54" w:rsidRDefault="00017C54" w:rsidP="00511C18">
            <w:pPr>
              <w:rPr>
                <w:b/>
              </w:rPr>
            </w:pPr>
            <w:r w:rsidRPr="00696945">
              <w:rPr>
                <w:rFonts w:eastAsiaTheme="minorEastAsia" w:cs="Arial"/>
                <w:snapToGrid/>
              </w:rPr>
              <w:t>Course: Universal Design for Learning</w:t>
            </w:r>
          </w:p>
        </w:tc>
        <w:tc>
          <w:tcPr>
            <w:tcW w:w="3600" w:type="dxa"/>
            <w:vAlign w:val="center"/>
          </w:tcPr>
          <w:p w14:paraId="3032DC47" w14:textId="4A2F6C51" w:rsidR="00017C54" w:rsidRDefault="00017C54" w:rsidP="00511C18">
            <w:pPr>
              <w:spacing w:before="240" w:after="240"/>
              <w:ind w:left="-18"/>
              <w:rPr>
                <w:b/>
              </w:rPr>
            </w:pPr>
            <w:r w:rsidRPr="00696945">
              <w:rPr>
                <w:rFonts w:eastAsiaTheme="minorEastAsia" w:cs="Arial"/>
                <w:snapToGrid/>
              </w:rPr>
              <w:t>Link:</w:t>
            </w:r>
            <w:r>
              <w:rPr>
                <w:rFonts w:eastAsiaTheme="minorEastAsia" w:cs="Arial"/>
                <w:snapToGrid/>
              </w:rPr>
              <w:t xml:space="preserve"> </w:t>
            </w:r>
            <w:r w:rsidR="005E1399">
              <w:rPr>
                <w:rFonts w:eastAsiaTheme="minorEastAsia" w:cs="Arial"/>
                <w:snapToGrid/>
              </w:rPr>
              <w:t>(</w:t>
            </w:r>
            <w:hyperlink r:id="rId28" w:tooltip="Course: Universal Design for Learning" w:history="1">
              <w:r w:rsidR="005E1399" w:rsidRPr="0055086D">
                <w:rPr>
                  <w:rStyle w:val="Hyperlink"/>
                  <w:rFonts w:eastAsiaTheme="minorEastAsia" w:cs="Arial"/>
                  <w:snapToGrid/>
                </w:rPr>
                <w:t>https://www.learningdesigned.org/content/udl-associate-credential-0</w:t>
              </w:r>
            </w:hyperlink>
            <w:r w:rsidR="005E1399" w:rsidRPr="005E1399">
              <w:rPr>
                <w:rStyle w:val="Hyperlink"/>
                <w:rFonts w:eastAsiaTheme="minorEastAsia"/>
                <w:color w:val="auto"/>
                <w:u w:val="none"/>
              </w:rPr>
              <w:t>)</w:t>
            </w:r>
          </w:p>
        </w:tc>
        <w:tc>
          <w:tcPr>
            <w:tcW w:w="3145" w:type="dxa"/>
            <w:vAlign w:val="center"/>
          </w:tcPr>
          <w:p w14:paraId="5B922478" w14:textId="13C0FEAB" w:rsidR="00017C54" w:rsidRDefault="00017C54" w:rsidP="00511C18">
            <w:pPr>
              <w:rPr>
                <w:b/>
              </w:rPr>
            </w:pPr>
            <w:r w:rsidRPr="00696945">
              <w:rPr>
                <w:rFonts w:eastAsiaTheme="minorEastAsia" w:cs="Arial"/>
                <w:snapToGrid/>
              </w:rPr>
              <w:t>All Students</w:t>
            </w:r>
          </w:p>
        </w:tc>
      </w:tr>
      <w:tr w:rsidR="00017C54" w14:paraId="1131BC50" w14:textId="77777777" w:rsidTr="007C3C12">
        <w:trPr>
          <w:cantSplit/>
        </w:trPr>
        <w:tc>
          <w:tcPr>
            <w:tcW w:w="2605" w:type="dxa"/>
            <w:vAlign w:val="center"/>
          </w:tcPr>
          <w:p w14:paraId="2635561F" w14:textId="02151354" w:rsidR="00017C54" w:rsidRDefault="00017C54" w:rsidP="00511C18">
            <w:pPr>
              <w:rPr>
                <w:b/>
              </w:rPr>
            </w:pPr>
            <w:r w:rsidRPr="00696945">
              <w:rPr>
                <w:rFonts w:eastAsiaTheme="minorEastAsia" w:cs="Arial"/>
                <w:snapToGrid/>
              </w:rPr>
              <w:t>Course: Supporting English Learners in MTSS</w:t>
            </w:r>
          </w:p>
        </w:tc>
        <w:tc>
          <w:tcPr>
            <w:tcW w:w="3600" w:type="dxa"/>
            <w:vAlign w:val="center"/>
          </w:tcPr>
          <w:p w14:paraId="75A4F3E5" w14:textId="3E3B51E8" w:rsidR="00017C54" w:rsidRDefault="00017C54" w:rsidP="00511C18">
            <w:pPr>
              <w:spacing w:before="240" w:after="240"/>
              <w:ind w:left="-18"/>
              <w:rPr>
                <w:b/>
              </w:rPr>
            </w:pPr>
            <w:r w:rsidRPr="00696945">
              <w:rPr>
                <w:rFonts w:eastAsiaTheme="minorEastAsia" w:cs="Arial"/>
                <w:snapToGrid/>
              </w:rPr>
              <w:t xml:space="preserve">Link: </w:t>
            </w:r>
            <w:r w:rsidR="005E1399">
              <w:rPr>
                <w:rFonts w:eastAsiaTheme="minorEastAsia" w:cs="Arial"/>
                <w:snapToGrid/>
              </w:rPr>
              <w:t>(</w:t>
            </w:r>
            <w:hyperlink r:id="rId29" w:tooltip="Course: Supporting English Learners in MTSS" w:history="1">
              <w:r w:rsidR="005E1399" w:rsidRPr="0055086D">
                <w:rPr>
                  <w:rStyle w:val="Hyperlink"/>
                  <w:rFonts w:eastAsiaTheme="minorEastAsia" w:cs="Arial"/>
                  <w:snapToGrid/>
                </w:rPr>
                <w:t>https://sccoe.instructure.com/courses/668</w:t>
              </w:r>
            </w:hyperlink>
            <w:r w:rsidR="005E1399" w:rsidRPr="005E1399">
              <w:rPr>
                <w:rStyle w:val="Hyperlink"/>
                <w:rFonts w:eastAsiaTheme="minorEastAsia"/>
                <w:color w:val="auto"/>
                <w:u w:val="none"/>
              </w:rPr>
              <w:t>)</w:t>
            </w:r>
          </w:p>
        </w:tc>
        <w:tc>
          <w:tcPr>
            <w:tcW w:w="3145" w:type="dxa"/>
            <w:vAlign w:val="center"/>
          </w:tcPr>
          <w:p w14:paraId="6735ACC4" w14:textId="26EB7725" w:rsidR="00017C54" w:rsidRDefault="004F4C28" w:rsidP="00511C18">
            <w:pPr>
              <w:rPr>
                <w:b/>
              </w:rPr>
            </w:pPr>
            <w:r>
              <w:rPr>
                <w:rFonts w:eastAsiaTheme="minorEastAsia" w:cs="Arial"/>
                <w:snapToGrid/>
              </w:rPr>
              <w:t>English learners</w:t>
            </w:r>
          </w:p>
        </w:tc>
      </w:tr>
      <w:tr w:rsidR="00017C54" w14:paraId="09BD63B4" w14:textId="77777777" w:rsidTr="007C3C12">
        <w:trPr>
          <w:cantSplit/>
        </w:trPr>
        <w:tc>
          <w:tcPr>
            <w:tcW w:w="2605" w:type="dxa"/>
            <w:vAlign w:val="center"/>
          </w:tcPr>
          <w:p w14:paraId="7122415C" w14:textId="1FE6D7B2" w:rsidR="00017C54" w:rsidRDefault="00017C54" w:rsidP="00511C18">
            <w:pPr>
              <w:rPr>
                <w:b/>
              </w:rPr>
            </w:pPr>
            <w:r w:rsidRPr="00696945">
              <w:rPr>
                <w:rFonts w:eastAsiaTheme="minorEastAsia" w:cs="Arial"/>
                <w:snapToGrid/>
              </w:rPr>
              <w:t>2018 Annual Inclusion Collaborative State Conference</w:t>
            </w:r>
          </w:p>
        </w:tc>
        <w:tc>
          <w:tcPr>
            <w:tcW w:w="3600" w:type="dxa"/>
            <w:vAlign w:val="center"/>
          </w:tcPr>
          <w:p w14:paraId="71C6A8AF" w14:textId="46A09EB1" w:rsidR="00017C54" w:rsidRDefault="00017C54" w:rsidP="00511C18">
            <w:pPr>
              <w:spacing w:before="240" w:after="240"/>
              <w:ind w:left="-18"/>
              <w:rPr>
                <w:b/>
              </w:rPr>
            </w:pPr>
            <w:r>
              <w:rPr>
                <w:rFonts w:eastAsiaTheme="minorEastAsia" w:cs="Arial"/>
                <w:snapToGrid/>
              </w:rPr>
              <w:t xml:space="preserve">Link: </w:t>
            </w:r>
            <w:r w:rsidR="005E1399">
              <w:rPr>
                <w:rFonts w:eastAsiaTheme="minorEastAsia" w:cs="Arial"/>
                <w:snapToGrid/>
              </w:rPr>
              <w:t>(</w:t>
            </w:r>
            <w:hyperlink r:id="rId30" w:tooltip="2018 Annual Inclusion Collaborative State Conference" w:history="1">
              <w:r w:rsidR="005E1399" w:rsidRPr="0055086D">
                <w:rPr>
                  <w:rStyle w:val="Hyperlink"/>
                  <w:rFonts w:eastAsiaTheme="minorEastAsia" w:cs="Arial"/>
                  <w:snapToGrid/>
                </w:rPr>
                <w:t>https://2018inclusioncollaborativestatec.sched.com/</w:t>
              </w:r>
            </w:hyperlink>
            <w:r w:rsidR="005E1399" w:rsidRPr="005E1399">
              <w:rPr>
                <w:rStyle w:val="Hyperlink"/>
                <w:rFonts w:eastAsiaTheme="minorEastAsia"/>
                <w:color w:val="auto"/>
                <w:u w:val="none"/>
              </w:rPr>
              <w:t>)</w:t>
            </w:r>
            <w:r>
              <w:rPr>
                <w:rFonts w:eastAsiaTheme="minorEastAsia" w:cs="Arial"/>
                <w:snapToGrid/>
              </w:rPr>
              <w:t xml:space="preserve"> </w:t>
            </w:r>
          </w:p>
        </w:tc>
        <w:tc>
          <w:tcPr>
            <w:tcW w:w="3145" w:type="dxa"/>
            <w:vAlign w:val="center"/>
          </w:tcPr>
          <w:p w14:paraId="4A3260EE" w14:textId="3745AFF4" w:rsidR="00017C54" w:rsidRDefault="00017C54" w:rsidP="00511C18">
            <w:pPr>
              <w:rPr>
                <w:b/>
              </w:rPr>
            </w:pPr>
            <w:r w:rsidRPr="00696945">
              <w:rPr>
                <w:rFonts w:eastAsiaTheme="minorEastAsia" w:cs="Arial"/>
                <w:snapToGrid/>
              </w:rPr>
              <w:t>All Students</w:t>
            </w:r>
          </w:p>
        </w:tc>
      </w:tr>
    </w:tbl>
    <w:p w14:paraId="70F95ED1" w14:textId="1787B895" w:rsidR="000664BA" w:rsidRDefault="000664BA" w:rsidP="00511C18">
      <w:pPr>
        <w:pStyle w:val="Heading3"/>
      </w:pPr>
      <w:bookmarkStart w:id="19" w:name="_Toc46228500"/>
      <w:r w:rsidRPr="004C6BF7">
        <w:lastRenderedPageBreak/>
        <w:t>The Number of Schools, Districts, and/or COEs, Educators, and Pupils Served</w:t>
      </w:r>
      <w:bookmarkEnd w:id="19"/>
    </w:p>
    <w:p w14:paraId="29B76027" w14:textId="743D56EF" w:rsidR="00E87625" w:rsidRPr="00E87625" w:rsidRDefault="00E87625" w:rsidP="00511C18">
      <w:pPr>
        <w:pStyle w:val="Heading4"/>
        <w:jc w:val="center"/>
      </w:pPr>
      <w:r>
        <w:t>San Diego</w:t>
      </w:r>
      <w:r w:rsidR="00B83A4B">
        <w:t xml:space="preserve"> COE</w:t>
      </w:r>
      <w:r>
        <w:t xml:space="preserve"> Equity Lead</w:t>
      </w:r>
    </w:p>
    <w:p w14:paraId="5F29B84C" w14:textId="77777777" w:rsidR="00C96771" w:rsidRDefault="000664BA" w:rsidP="00511C18">
      <w:pPr>
        <w:spacing w:before="240" w:after="240"/>
      </w:pPr>
      <w:r>
        <w:t>The San Diego COE Equity Lead co</w:t>
      </w:r>
      <w:r w:rsidR="00E87625">
        <w:t>nducted its equity work at 4</w:t>
      </w:r>
      <w:r>
        <w:t xml:space="preserve"> schools </w:t>
      </w:r>
      <w:r w:rsidR="00E87625">
        <w:t>in 4 districts at</w:t>
      </w:r>
      <w:r>
        <w:t xml:space="preserve"> San Diego and Kern counties. </w:t>
      </w:r>
      <w:r w:rsidRPr="00411D67">
        <w:t xml:space="preserve">Table 4 shows the number of schools, districts, </w:t>
      </w:r>
      <w:r>
        <w:t>e</w:t>
      </w:r>
      <w:r w:rsidRPr="00411D67">
        <w:t>ducators, and students serv</w:t>
      </w:r>
      <w:r>
        <w:t xml:space="preserve">ed by the San Diego COE Equity Lead. As shown in Table 4, 35 educators engaged in the continuous improvement equity work serving a total of 4,499 students. Among them, 284 are African American </w:t>
      </w:r>
      <w:r w:rsidR="000F30C9">
        <w:t xml:space="preserve">(AA) </w:t>
      </w:r>
      <w:r>
        <w:t>students and 1,028 English learners</w:t>
      </w:r>
      <w:r w:rsidR="000F30C9">
        <w:t xml:space="preserve"> (EL)</w:t>
      </w:r>
      <w:r>
        <w:t>.</w:t>
      </w:r>
      <w:r w:rsidR="00E87625">
        <w:t xml:space="preserve"> Table 4 provides a detailed breakdown of the students, educators, and schools served.</w:t>
      </w:r>
    </w:p>
    <w:p w14:paraId="5E901EBD" w14:textId="77777777" w:rsidR="00C96771" w:rsidRPr="00E35616" w:rsidRDefault="00C96771" w:rsidP="00C96771">
      <w:pPr>
        <w:spacing w:after="240"/>
        <w:rPr>
          <w:b/>
        </w:rPr>
      </w:pPr>
      <w:r w:rsidRPr="00E35616">
        <w:rPr>
          <w:b/>
        </w:rPr>
        <w:t>Table 4 The Number of Schools, Districts, Educators, and Students served by the San Diego COE Equity Lead</w:t>
      </w:r>
    </w:p>
    <w:tbl>
      <w:tblPr>
        <w:tblStyle w:val="TableGrid"/>
        <w:tblW w:w="5000" w:type="pct"/>
        <w:tblLook w:val="04A0" w:firstRow="1" w:lastRow="0" w:firstColumn="1" w:lastColumn="0" w:noHBand="0" w:noVBand="1"/>
        <w:tblDescription w:val="The Number of Schools, Districts, Educators, and Students served by the San Diego COE Equity Lead"/>
      </w:tblPr>
      <w:tblGrid>
        <w:gridCol w:w="2001"/>
        <w:gridCol w:w="2306"/>
        <w:gridCol w:w="1821"/>
        <w:gridCol w:w="1788"/>
        <w:gridCol w:w="617"/>
        <w:gridCol w:w="817"/>
      </w:tblGrid>
      <w:tr w:rsidR="00C96771" w14:paraId="77CECFB8" w14:textId="77777777" w:rsidTr="00C96771">
        <w:trPr>
          <w:trHeight w:val="720"/>
          <w:tblHeader/>
        </w:trPr>
        <w:tc>
          <w:tcPr>
            <w:tcW w:w="1070" w:type="pct"/>
            <w:shd w:val="clear" w:color="auto" w:fill="D9D9D9" w:themeFill="background1" w:themeFillShade="D9"/>
            <w:vAlign w:val="center"/>
          </w:tcPr>
          <w:p w14:paraId="2F7EEF01" w14:textId="300E2C03" w:rsidR="00C96771" w:rsidRDefault="00C96771" w:rsidP="00C96771">
            <w:pPr>
              <w:jc w:val="center"/>
            </w:pPr>
            <w:r>
              <w:rPr>
                <w:rFonts w:cs="Arial"/>
                <w:b/>
                <w:bCs/>
                <w:color w:val="000000"/>
              </w:rPr>
              <w:t>School District</w:t>
            </w:r>
          </w:p>
        </w:tc>
        <w:tc>
          <w:tcPr>
            <w:tcW w:w="1233" w:type="pct"/>
            <w:shd w:val="clear" w:color="auto" w:fill="D9D9D9" w:themeFill="background1" w:themeFillShade="D9"/>
            <w:vAlign w:val="center"/>
          </w:tcPr>
          <w:p w14:paraId="33A3C052" w14:textId="2ABB44E2" w:rsidR="00C96771" w:rsidRDefault="00C96771" w:rsidP="00C96771">
            <w:pPr>
              <w:jc w:val="center"/>
            </w:pPr>
            <w:r>
              <w:rPr>
                <w:rFonts w:cs="Arial"/>
                <w:b/>
                <w:bCs/>
                <w:color w:val="000000"/>
              </w:rPr>
              <w:t>School Name</w:t>
            </w:r>
          </w:p>
        </w:tc>
        <w:tc>
          <w:tcPr>
            <w:tcW w:w="974" w:type="pct"/>
            <w:shd w:val="clear" w:color="auto" w:fill="D9D9D9" w:themeFill="background1" w:themeFillShade="D9"/>
            <w:vAlign w:val="center"/>
          </w:tcPr>
          <w:p w14:paraId="2C15E427" w14:textId="6D4E6B1D" w:rsidR="00C96771" w:rsidRDefault="00C96771" w:rsidP="00C96771">
            <w:pPr>
              <w:jc w:val="center"/>
            </w:pPr>
            <w:r>
              <w:rPr>
                <w:rFonts w:cs="Arial"/>
                <w:b/>
                <w:bCs/>
                <w:color w:val="000000"/>
              </w:rPr>
              <w:t>Educators Served</w:t>
            </w:r>
          </w:p>
        </w:tc>
        <w:tc>
          <w:tcPr>
            <w:tcW w:w="956" w:type="pct"/>
            <w:shd w:val="clear" w:color="auto" w:fill="D9D9D9" w:themeFill="background1" w:themeFillShade="D9"/>
            <w:vAlign w:val="center"/>
          </w:tcPr>
          <w:p w14:paraId="5EDE8841" w14:textId="74702FA4" w:rsidR="00C96771" w:rsidRDefault="00C96771" w:rsidP="00C96771">
            <w:pPr>
              <w:jc w:val="center"/>
            </w:pPr>
            <w:r>
              <w:rPr>
                <w:rFonts w:cs="Arial"/>
                <w:b/>
                <w:bCs/>
                <w:color w:val="000000"/>
              </w:rPr>
              <w:t>Total Enrollment</w:t>
            </w:r>
          </w:p>
        </w:tc>
        <w:tc>
          <w:tcPr>
            <w:tcW w:w="330" w:type="pct"/>
            <w:shd w:val="clear" w:color="auto" w:fill="D9D9D9" w:themeFill="background1" w:themeFillShade="D9"/>
            <w:vAlign w:val="center"/>
          </w:tcPr>
          <w:p w14:paraId="1A1E0885" w14:textId="0EE0AD61" w:rsidR="00C96771" w:rsidRDefault="00C96771" w:rsidP="00C96771">
            <w:pPr>
              <w:jc w:val="center"/>
            </w:pPr>
            <w:r>
              <w:rPr>
                <w:rFonts w:cs="Arial"/>
                <w:b/>
                <w:bCs/>
                <w:color w:val="000000"/>
              </w:rPr>
              <w:t>AA</w:t>
            </w:r>
          </w:p>
        </w:tc>
        <w:tc>
          <w:tcPr>
            <w:tcW w:w="437" w:type="pct"/>
            <w:shd w:val="clear" w:color="auto" w:fill="D9D9D9" w:themeFill="background1" w:themeFillShade="D9"/>
            <w:vAlign w:val="center"/>
          </w:tcPr>
          <w:p w14:paraId="0D39A72B" w14:textId="5C680D05" w:rsidR="00C96771" w:rsidRDefault="00C96771" w:rsidP="00C96771">
            <w:pPr>
              <w:jc w:val="center"/>
            </w:pPr>
            <w:r>
              <w:rPr>
                <w:rFonts w:cs="Arial"/>
                <w:b/>
                <w:bCs/>
                <w:color w:val="000000"/>
              </w:rPr>
              <w:t>EL</w:t>
            </w:r>
          </w:p>
        </w:tc>
      </w:tr>
      <w:tr w:rsidR="00C96771" w14:paraId="5EB6D8BF" w14:textId="77777777" w:rsidTr="00C96771">
        <w:trPr>
          <w:trHeight w:val="720"/>
        </w:trPr>
        <w:tc>
          <w:tcPr>
            <w:tcW w:w="1070" w:type="pct"/>
            <w:vAlign w:val="center"/>
          </w:tcPr>
          <w:p w14:paraId="5403C166" w14:textId="1EC86E28" w:rsidR="00C96771" w:rsidRDefault="00C96771" w:rsidP="00C96771">
            <w:r>
              <w:rPr>
                <w:rFonts w:cs="Arial"/>
                <w:color w:val="000000"/>
              </w:rPr>
              <w:t>Grossmont Union</w:t>
            </w:r>
          </w:p>
        </w:tc>
        <w:tc>
          <w:tcPr>
            <w:tcW w:w="1233" w:type="pct"/>
            <w:vAlign w:val="center"/>
          </w:tcPr>
          <w:p w14:paraId="2F1F5420" w14:textId="0A36B93E" w:rsidR="00C96771" w:rsidRDefault="00C96771" w:rsidP="00C96771">
            <w:r>
              <w:rPr>
                <w:rFonts w:cs="Arial"/>
                <w:color w:val="000000"/>
              </w:rPr>
              <w:t>Mt. Miguel High School</w:t>
            </w:r>
          </w:p>
        </w:tc>
        <w:tc>
          <w:tcPr>
            <w:tcW w:w="974" w:type="pct"/>
            <w:vAlign w:val="center"/>
          </w:tcPr>
          <w:p w14:paraId="5FEB22F2" w14:textId="706D48A7" w:rsidR="00C96771" w:rsidRDefault="00C96771" w:rsidP="00C96771">
            <w:r>
              <w:rPr>
                <w:rFonts w:cs="Arial"/>
                <w:color w:val="000000"/>
              </w:rPr>
              <w:t>10</w:t>
            </w:r>
          </w:p>
        </w:tc>
        <w:tc>
          <w:tcPr>
            <w:tcW w:w="956" w:type="pct"/>
            <w:vAlign w:val="center"/>
          </w:tcPr>
          <w:p w14:paraId="5AA87727" w14:textId="2B89134C" w:rsidR="00C96771" w:rsidRDefault="00C96771" w:rsidP="00C96771">
            <w:r>
              <w:rPr>
                <w:rFonts w:cs="Arial"/>
                <w:color w:val="000000"/>
              </w:rPr>
              <w:t>1,298</w:t>
            </w:r>
          </w:p>
        </w:tc>
        <w:tc>
          <w:tcPr>
            <w:tcW w:w="330" w:type="pct"/>
            <w:vAlign w:val="center"/>
          </w:tcPr>
          <w:p w14:paraId="0BEFF9D3" w14:textId="44B6225A" w:rsidR="00C96771" w:rsidRDefault="00C96771" w:rsidP="00C96771">
            <w:r>
              <w:rPr>
                <w:rFonts w:cs="Arial"/>
                <w:color w:val="000000"/>
              </w:rPr>
              <w:t>204</w:t>
            </w:r>
          </w:p>
        </w:tc>
        <w:tc>
          <w:tcPr>
            <w:tcW w:w="437" w:type="pct"/>
            <w:vAlign w:val="center"/>
          </w:tcPr>
          <w:p w14:paraId="104FC149" w14:textId="1A50A513" w:rsidR="00C96771" w:rsidRDefault="00C96771" w:rsidP="00C96771">
            <w:r>
              <w:rPr>
                <w:rFonts w:cs="Arial"/>
                <w:color w:val="000000"/>
              </w:rPr>
              <w:t>268</w:t>
            </w:r>
          </w:p>
        </w:tc>
      </w:tr>
      <w:tr w:rsidR="00C96771" w14:paraId="4D65D3F2" w14:textId="77777777" w:rsidTr="00C96771">
        <w:trPr>
          <w:trHeight w:val="720"/>
        </w:trPr>
        <w:tc>
          <w:tcPr>
            <w:tcW w:w="1070" w:type="pct"/>
            <w:vAlign w:val="center"/>
          </w:tcPr>
          <w:p w14:paraId="27A5FF50" w14:textId="22D97D3B" w:rsidR="00C96771" w:rsidRDefault="00C96771" w:rsidP="00C96771">
            <w:r>
              <w:rPr>
                <w:rFonts w:cs="Arial"/>
                <w:color w:val="000000"/>
              </w:rPr>
              <w:t>Escondido Union High</w:t>
            </w:r>
          </w:p>
        </w:tc>
        <w:tc>
          <w:tcPr>
            <w:tcW w:w="1233" w:type="pct"/>
            <w:vAlign w:val="center"/>
          </w:tcPr>
          <w:p w14:paraId="2640776E" w14:textId="0CA6042C" w:rsidR="00C96771" w:rsidRDefault="00C96771" w:rsidP="00C96771">
            <w:r>
              <w:rPr>
                <w:rFonts w:cs="Arial"/>
                <w:color w:val="000000"/>
              </w:rPr>
              <w:t>Orange Glen High School</w:t>
            </w:r>
          </w:p>
        </w:tc>
        <w:tc>
          <w:tcPr>
            <w:tcW w:w="974" w:type="pct"/>
            <w:vAlign w:val="center"/>
          </w:tcPr>
          <w:p w14:paraId="123288DC" w14:textId="57FAC740" w:rsidR="00C96771" w:rsidRDefault="00C96771" w:rsidP="00C96771">
            <w:r>
              <w:rPr>
                <w:rFonts w:cs="Arial"/>
                <w:color w:val="000000"/>
              </w:rPr>
              <w:t>10</w:t>
            </w:r>
          </w:p>
        </w:tc>
        <w:tc>
          <w:tcPr>
            <w:tcW w:w="956" w:type="pct"/>
            <w:vAlign w:val="center"/>
          </w:tcPr>
          <w:p w14:paraId="37B927DB" w14:textId="4ABAD617" w:rsidR="00C96771" w:rsidRDefault="00C96771" w:rsidP="00C96771">
            <w:r>
              <w:rPr>
                <w:rFonts w:cs="Arial"/>
                <w:color w:val="000000"/>
              </w:rPr>
              <w:t>1,808</w:t>
            </w:r>
          </w:p>
        </w:tc>
        <w:tc>
          <w:tcPr>
            <w:tcW w:w="330" w:type="pct"/>
            <w:vAlign w:val="center"/>
          </w:tcPr>
          <w:p w14:paraId="553ABE6B" w14:textId="7CB40326" w:rsidR="00C96771" w:rsidRDefault="00C96771" w:rsidP="00C96771">
            <w:r>
              <w:rPr>
                <w:rFonts w:cs="Arial"/>
                <w:color w:val="000000"/>
              </w:rPr>
              <w:t>41</w:t>
            </w:r>
          </w:p>
        </w:tc>
        <w:tc>
          <w:tcPr>
            <w:tcW w:w="437" w:type="pct"/>
            <w:vAlign w:val="center"/>
          </w:tcPr>
          <w:p w14:paraId="49A8021C" w14:textId="20E9BDFF" w:rsidR="00C96771" w:rsidRDefault="00C96771" w:rsidP="00C96771">
            <w:r>
              <w:rPr>
                <w:rFonts w:cs="Arial"/>
                <w:color w:val="000000"/>
              </w:rPr>
              <w:t>373</w:t>
            </w:r>
          </w:p>
        </w:tc>
      </w:tr>
      <w:tr w:rsidR="00C96771" w14:paraId="2147FC5A" w14:textId="77777777" w:rsidTr="00C96771">
        <w:trPr>
          <w:trHeight w:val="720"/>
        </w:trPr>
        <w:tc>
          <w:tcPr>
            <w:tcW w:w="1070" w:type="pct"/>
            <w:vAlign w:val="center"/>
          </w:tcPr>
          <w:p w14:paraId="5680DAB5" w14:textId="422A9669" w:rsidR="00C96771" w:rsidRDefault="00C96771" w:rsidP="00C96771">
            <w:r>
              <w:rPr>
                <w:rFonts w:cs="Arial"/>
                <w:color w:val="000000"/>
              </w:rPr>
              <w:t>La Mesa Spring Valley</w:t>
            </w:r>
          </w:p>
        </w:tc>
        <w:tc>
          <w:tcPr>
            <w:tcW w:w="1233" w:type="pct"/>
            <w:vAlign w:val="center"/>
          </w:tcPr>
          <w:p w14:paraId="28532BE5" w14:textId="76D90B83" w:rsidR="00C96771" w:rsidRDefault="00C96771" w:rsidP="00C96771">
            <w:r>
              <w:rPr>
                <w:rFonts w:cs="Arial"/>
                <w:color w:val="000000"/>
              </w:rPr>
              <w:t>Bancroft Elementary School</w:t>
            </w:r>
          </w:p>
        </w:tc>
        <w:tc>
          <w:tcPr>
            <w:tcW w:w="974" w:type="pct"/>
            <w:vAlign w:val="center"/>
          </w:tcPr>
          <w:p w14:paraId="19C7B760" w14:textId="7F9BAAD4" w:rsidR="00C96771" w:rsidRDefault="00C96771" w:rsidP="00C96771">
            <w:r>
              <w:rPr>
                <w:rFonts w:cs="Arial"/>
                <w:color w:val="000000"/>
              </w:rPr>
              <w:t>8</w:t>
            </w:r>
          </w:p>
        </w:tc>
        <w:tc>
          <w:tcPr>
            <w:tcW w:w="956" w:type="pct"/>
            <w:vAlign w:val="center"/>
          </w:tcPr>
          <w:p w14:paraId="1DD2A6C8" w14:textId="11F58C2B" w:rsidR="00C96771" w:rsidRDefault="00C96771" w:rsidP="00C96771">
            <w:r>
              <w:rPr>
                <w:rFonts w:cs="Arial"/>
                <w:color w:val="000000"/>
              </w:rPr>
              <w:t>461</w:t>
            </w:r>
          </w:p>
        </w:tc>
        <w:tc>
          <w:tcPr>
            <w:tcW w:w="330" w:type="pct"/>
            <w:vAlign w:val="center"/>
          </w:tcPr>
          <w:p w14:paraId="35551662" w14:textId="140EF88F" w:rsidR="00C96771" w:rsidRDefault="00C96771" w:rsidP="00C96771">
            <w:r>
              <w:rPr>
                <w:rFonts w:cs="Arial"/>
                <w:color w:val="000000"/>
              </w:rPr>
              <w:t>35</w:t>
            </w:r>
          </w:p>
        </w:tc>
        <w:tc>
          <w:tcPr>
            <w:tcW w:w="437" w:type="pct"/>
            <w:vAlign w:val="center"/>
          </w:tcPr>
          <w:p w14:paraId="1C486B45" w14:textId="1D623C80" w:rsidR="00C96771" w:rsidRDefault="00C96771" w:rsidP="00C96771">
            <w:r>
              <w:rPr>
                <w:rFonts w:cs="Arial"/>
                <w:color w:val="000000"/>
              </w:rPr>
              <w:t>212</w:t>
            </w:r>
          </w:p>
        </w:tc>
      </w:tr>
      <w:tr w:rsidR="00C96771" w14:paraId="66C6C682" w14:textId="77777777" w:rsidTr="00C96771">
        <w:trPr>
          <w:trHeight w:val="720"/>
        </w:trPr>
        <w:tc>
          <w:tcPr>
            <w:tcW w:w="1070" w:type="pct"/>
            <w:vAlign w:val="center"/>
          </w:tcPr>
          <w:p w14:paraId="61A8CAB5" w14:textId="5CB7B6F7" w:rsidR="00C96771" w:rsidRDefault="00C96771" w:rsidP="00C96771">
            <w:r>
              <w:rPr>
                <w:rFonts w:cs="Arial"/>
                <w:color w:val="000000"/>
              </w:rPr>
              <w:t>McFarland Unified</w:t>
            </w:r>
          </w:p>
        </w:tc>
        <w:tc>
          <w:tcPr>
            <w:tcW w:w="1233" w:type="pct"/>
            <w:vAlign w:val="center"/>
          </w:tcPr>
          <w:p w14:paraId="23755C92" w14:textId="0EF311FA" w:rsidR="00C96771" w:rsidRDefault="00C96771" w:rsidP="00C96771">
            <w:r>
              <w:rPr>
                <w:rFonts w:cs="Arial"/>
                <w:color w:val="000000"/>
              </w:rPr>
              <w:t>McFarland High School</w:t>
            </w:r>
          </w:p>
        </w:tc>
        <w:tc>
          <w:tcPr>
            <w:tcW w:w="974" w:type="pct"/>
            <w:vAlign w:val="center"/>
          </w:tcPr>
          <w:p w14:paraId="686D0635" w14:textId="1E055B0B" w:rsidR="00C96771" w:rsidRDefault="00C96771" w:rsidP="00C96771">
            <w:r>
              <w:rPr>
                <w:rFonts w:cs="Arial"/>
                <w:color w:val="000000"/>
              </w:rPr>
              <w:t>7</w:t>
            </w:r>
          </w:p>
        </w:tc>
        <w:tc>
          <w:tcPr>
            <w:tcW w:w="956" w:type="pct"/>
            <w:vAlign w:val="center"/>
          </w:tcPr>
          <w:p w14:paraId="39940FCC" w14:textId="4E8289D0" w:rsidR="00C96771" w:rsidRDefault="00C96771" w:rsidP="00C96771">
            <w:r>
              <w:rPr>
                <w:rFonts w:cs="Arial"/>
                <w:color w:val="000000"/>
              </w:rPr>
              <w:t>932</w:t>
            </w:r>
          </w:p>
        </w:tc>
        <w:tc>
          <w:tcPr>
            <w:tcW w:w="330" w:type="pct"/>
            <w:vAlign w:val="center"/>
          </w:tcPr>
          <w:p w14:paraId="002ED836" w14:textId="00EDE215" w:rsidR="00C96771" w:rsidRDefault="00C96771" w:rsidP="00C96771">
            <w:r>
              <w:rPr>
                <w:rFonts w:cs="Arial"/>
                <w:color w:val="000000"/>
              </w:rPr>
              <w:t>4</w:t>
            </w:r>
          </w:p>
        </w:tc>
        <w:tc>
          <w:tcPr>
            <w:tcW w:w="437" w:type="pct"/>
            <w:vAlign w:val="center"/>
          </w:tcPr>
          <w:p w14:paraId="20292D97" w14:textId="4106FA39" w:rsidR="00C96771" w:rsidRDefault="00C96771" w:rsidP="00C96771">
            <w:r>
              <w:rPr>
                <w:rFonts w:cs="Arial"/>
                <w:color w:val="000000"/>
              </w:rPr>
              <w:t>175</w:t>
            </w:r>
          </w:p>
        </w:tc>
      </w:tr>
      <w:tr w:rsidR="00C96771" w14:paraId="2B932588" w14:textId="77777777" w:rsidTr="00C96771">
        <w:trPr>
          <w:trHeight w:val="432"/>
        </w:trPr>
        <w:tc>
          <w:tcPr>
            <w:tcW w:w="1070" w:type="pct"/>
            <w:vAlign w:val="center"/>
          </w:tcPr>
          <w:p w14:paraId="72BA4A7B" w14:textId="43BA3832" w:rsidR="00C96771" w:rsidRDefault="00C96771" w:rsidP="00C96771">
            <w:r>
              <w:rPr>
                <w:rFonts w:cs="Arial"/>
                <w:b/>
                <w:bCs/>
                <w:color w:val="000000"/>
              </w:rPr>
              <w:t>Total</w:t>
            </w:r>
          </w:p>
        </w:tc>
        <w:tc>
          <w:tcPr>
            <w:tcW w:w="1233" w:type="pct"/>
            <w:vAlign w:val="center"/>
          </w:tcPr>
          <w:p w14:paraId="6FC8480B" w14:textId="5A0AB326" w:rsidR="00C96771" w:rsidRDefault="00C96771" w:rsidP="00C96771">
            <w:r>
              <w:rPr>
                <w:rFonts w:cs="Arial"/>
                <w:b/>
                <w:bCs/>
                <w:color w:val="000000"/>
              </w:rPr>
              <w:t>4</w:t>
            </w:r>
          </w:p>
        </w:tc>
        <w:tc>
          <w:tcPr>
            <w:tcW w:w="974" w:type="pct"/>
            <w:vAlign w:val="center"/>
          </w:tcPr>
          <w:p w14:paraId="7180B578" w14:textId="6787A29A" w:rsidR="00C96771" w:rsidRDefault="00C96771" w:rsidP="00C96771">
            <w:r>
              <w:rPr>
                <w:rFonts w:cs="Arial"/>
                <w:b/>
                <w:bCs/>
                <w:color w:val="000000"/>
              </w:rPr>
              <w:t>35</w:t>
            </w:r>
          </w:p>
        </w:tc>
        <w:tc>
          <w:tcPr>
            <w:tcW w:w="956" w:type="pct"/>
            <w:vAlign w:val="center"/>
          </w:tcPr>
          <w:p w14:paraId="71BEB6F3" w14:textId="5975DA11" w:rsidR="00C96771" w:rsidRDefault="00C96771" w:rsidP="00C96771">
            <w:r>
              <w:rPr>
                <w:rFonts w:cs="Arial"/>
                <w:b/>
                <w:bCs/>
                <w:color w:val="000000"/>
              </w:rPr>
              <w:t>4,499</w:t>
            </w:r>
          </w:p>
        </w:tc>
        <w:tc>
          <w:tcPr>
            <w:tcW w:w="330" w:type="pct"/>
            <w:vAlign w:val="center"/>
          </w:tcPr>
          <w:p w14:paraId="3C7D79F2" w14:textId="193B9C23" w:rsidR="00C96771" w:rsidRDefault="00C96771" w:rsidP="00C96771">
            <w:r>
              <w:rPr>
                <w:rFonts w:cs="Arial"/>
                <w:b/>
                <w:bCs/>
                <w:color w:val="000000"/>
              </w:rPr>
              <w:t>284</w:t>
            </w:r>
          </w:p>
        </w:tc>
        <w:tc>
          <w:tcPr>
            <w:tcW w:w="437" w:type="pct"/>
            <w:vAlign w:val="center"/>
          </w:tcPr>
          <w:p w14:paraId="34BC0185" w14:textId="1EE1BC04" w:rsidR="00C96771" w:rsidRDefault="00C96771" w:rsidP="00C96771">
            <w:r>
              <w:rPr>
                <w:rFonts w:cs="Arial"/>
                <w:b/>
                <w:bCs/>
                <w:color w:val="000000"/>
              </w:rPr>
              <w:t>1,028</w:t>
            </w:r>
          </w:p>
        </w:tc>
      </w:tr>
    </w:tbl>
    <w:p w14:paraId="67118CDD" w14:textId="2CD0EDCF" w:rsidR="00E87625" w:rsidRDefault="00E87625" w:rsidP="00511C18">
      <w:pPr>
        <w:pStyle w:val="Heading4"/>
        <w:jc w:val="center"/>
      </w:pPr>
      <w:r>
        <w:t>Santa Clara</w:t>
      </w:r>
      <w:r w:rsidR="00B83A4B">
        <w:t xml:space="preserve"> COE</w:t>
      </w:r>
      <w:r>
        <w:t xml:space="preserve"> Equity Lead</w:t>
      </w:r>
    </w:p>
    <w:p w14:paraId="23DCD41C" w14:textId="18180A8C" w:rsidR="00C96771" w:rsidRDefault="00E87625" w:rsidP="00511C18">
      <w:pPr>
        <w:widowControl/>
        <w:spacing w:after="160"/>
      </w:pPr>
      <w:r>
        <w:t>Based on the MTSS framework</w:t>
      </w:r>
      <w:r w:rsidR="005E6A8D" w:rsidRPr="005E6A8D">
        <w:t xml:space="preserve"> and implementing an online approach through their Tiers I and 2 model, the Santa Clara COE Equity Lead was able to reach a wide audience. Table 5 shows the number of schools, districts, educators, and students served by the Santa Clara COE Equity Lead. By partnering with neighboring COEs in the region (Monterey, San Benito, and Santa Cruz), they served 129 schools in 9 school districts with 3,342 educators. These schools served a total of 69,594 students, among them 1</w:t>
      </w:r>
      <w:r w:rsidR="004F4C28">
        <w:t>,213 are AA</w:t>
      </w:r>
      <w:r w:rsidR="000F30C9">
        <w:t xml:space="preserve"> students</w:t>
      </w:r>
      <w:r w:rsidR="004F4C28">
        <w:t>, 23,026 ELs</w:t>
      </w:r>
      <w:r w:rsidR="005E6A8D" w:rsidRPr="005E6A8D">
        <w:t>, and 7,937 students with disabilities</w:t>
      </w:r>
      <w:r w:rsidR="000F30C9">
        <w:t xml:space="preserve"> (SWD)</w:t>
      </w:r>
      <w:r w:rsidR="005E6A8D" w:rsidRPr="005E6A8D">
        <w:t>.</w:t>
      </w:r>
      <w:r>
        <w:t xml:space="preserve"> The availability of</w:t>
      </w:r>
      <w:r w:rsidR="00B57CF2">
        <w:t xml:space="preserve"> online</w:t>
      </w:r>
      <w:r>
        <w:t xml:space="preserve"> training modules and profe</w:t>
      </w:r>
      <w:r w:rsidR="00B57CF2">
        <w:t>ssional learning community enable the Santa Clara Equity Lead to serve a great amount of students, educators, schools, districts, and counties.</w:t>
      </w:r>
      <w:r w:rsidR="00C96771">
        <w:br w:type="page"/>
      </w:r>
    </w:p>
    <w:p w14:paraId="4F8504F0" w14:textId="2C188A21" w:rsidR="00E35616" w:rsidRPr="00E35616" w:rsidRDefault="000664BA" w:rsidP="00511C18">
      <w:pPr>
        <w:spacing w:after="240"/>
        <w:rPr>
          <w:b/>
        </w:rPr>
      </w:pPr>
      <w:r w:rsidRPr="00E35616">
        <w:rPr>
          <w:b/>
        </w:rPr>
        <w:lastRenderedPageBreak/>
        <w:t xml:space="preserve">Table </w:t>
      </w:r>
      <w:r w:rsidR="009869C6" w:rsidRPr="00E35616">
        <w:rPr>
          <w:b/>
        </w:rPr>
        <w:t>5</w:t>
      </w:r>
      <w:r w:rsidRPr="00E35616">
        <w:rPr>
          <w:b/>
        </w:rPr>
        <w:t xml:space="preserve"> The </w:t>
      </w:r>
      <w:r w:rsidR="00007ED1" w:rsidRPr="00E35616">
        <w:rPr>
          <w:b/>
        </w:rPr>
        <w:t>N</w:t>
      </w:r>
      <w:r w:rsidRPr="00E35616">
        <w:rPr>
          <w:b/>
        </w:rPr>
        <w:t>umber of Schools, Districts, Educators, and Students Served by the Santa Clara COE Equity Lead</w:t>
      </w:r>
    </w:p>
    <w:tbl>
      <w:tblPr>
        <w:tblStyle w:val="GridTable1Light"/>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5 The number of Schools, Districts, Educators, and Students Served by the Santa Clara COE Equity Lead"/>
      </w:tblPr>
      <w:tblGrid>
        <w:gridCol w:w="1795"/>
        <w:gridCol w:w="2076"/>
        <w:gridCol w:w="1439"/>
        <w:gridCol w:w="1529"/>
        <w:gridCol w:w="898"/>
        <w:gridCol w:w="992"/>
        <w:gridCol w:w="1075"/>
      </w:tblGrid>
      <w:tr w:rsidR="00626A44" w:rsidRPr="00595D37" w14:paraId="5A39DCAE" w14:textId="77777777" w:rsidTr="00511C18">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915" w:type="pct"/>
            <w:tcBorders>
              <w:bottom w:val="none" w:sz="0" w:space="0" w:color="auto"/>
            </w:tcBorders>
            <w:shd w:val="clear" w:color="auto" w:fill="D9D9D9" w:themeFill="background1" w:themeFillShade="D9"/>
            <w:vAlign w:val="center"/>
            <w:hideMark/>
          </w:tcPr>
          <w:p w14:paraId="4F5B54E8" w14:textId="77777777" w:rsidR="00626A44" w:rsidRPr="008B1CB1" w:rsidRDefault="00626A44" w:rsidP="00511C18">
            <w:pPr>
              <w:widowControl/>
              <w:jc w:val="center"/>
              <w:rPr>
                <w:rFonts w:cs="Arial"/>
                <w:b w:val="0"/>
                <w:bCs w:val="0"/>
                <w:snapToGrid/>
                <w:color w:val="000000"/>
                <w:szCs w:val="24"/>
              </w:rPr>
            </w:pPr>
            <w:r w:rsidRPr="008B1CB1">
              <w:rPr>
                <w:rFonts w:cs="Arial"/>
                <w:snapToGrid/>
                <w:color w:val="000000"/>
                <w:szCs w:val="24"/>
              </w:rPr>
              <w:t>District</w:t>
            </w:r>
          </w:p>
        </w:tc>
        <w:tc>
          <w:tcPr>
            <w:tcW w:w="1059" w:type="pct"/>
            <w:tcBorders>
              <w:bottom w:val="none" w:sz="0" w:space="0" w:color="auto"/>
            </w:tcBorders>
            <w:shd w:val="clear" w:color="auto" w:fill="D9D9D9" w:themeFill="background1" w:themeFillShade="D9"/>
            <w:vAlign w:val="center"/>
            <w:hideMark/>
          </w:tcPr>
          <w:p w14:paraId="7DD52C75" w14:textId="77777777" w:rsidR="00626A44" w:rsidRPr="008B1CB1" w:rsidRDefault="00626A44" w:rsidP="00511C18">
            <w:pPr>
              <w:widowControl/>
              <w:jc w:val="center"/>
              <w:cnfStyle w:val="100000000000" w:firstRow="1" w:lastRow="0" w:firstColumn="0" w:lastColumn="0" w:oddVBand="0" w:evenVBand="0" w:oddHBand="0" w:evenHBand="0" w:firstRowFirstColumn="0" w:firstRowLastColumn="0" w:lastRowFirstColumn="0" w:lastRowLastColumn="0"/>
              <w:rPr>
                <w:rFonts w:cs="Arial"/>
                <w:b w:val="0"/>
                <w:bCs w:val="0"/>
                <w:snapToGrid/>
                <w:color w:val="000000"/>
                <w:szCs w:val="24"/>
              </w:rPr>
            </w:pPr>
            <w:r w:rsidRPr="008B1CB1">
              <w:rPr>
                <w:rFonts w:cs="Arial"/>
                <w:snapToGrid/>
                <w:color w:val="000000"/>
                <w:szCs w:val="24"/>
              </w:rPr>
              <w:t>School Name</w:t>
            </w:r>
          </w:p>
        </w:tc>
        <w:tc>
          <w:tcPr>
            <w:tcW w:w="734" w:type="pct"/>
            <w:tcBorders>
              <w:bottom w:val="none" w:sz="0" w:space="0" w:color="auto"/>
            </w:tcBorders>
            <w:shd w:val="clear" w:color="auto" w:fill="D9D9D9" w:themeFill="background1" w:themeFillShade="D9"/>
            <w:vAlign w:val="center"/>
            <w:hideMark/>
          </w:tcPr>
          <w:p w14:paraId="76177F15" w14:textId="77777777" w:rsidR="00626A44" w:rsidRPr="008B1CB1" w:rsidRDefault="00626A44" w:rsidP="00511C18">
            <w:pPr>
              <w:widowControl/>
              <w:jc w:val="center"/>
              <w:cnfStyle w:val="100000000000" w:firstRow="1" w:lastRow="0" w:firstColumn="0" w:lastColumn="0" w:oddVBand="0" w:evenVBand="0" w:oddHBand="0" w:evenHBand="0" w:firstRowFirstColumn="0" w:firstRowLastColumn="0" w:lastRowFirstColumn="0" w:lastRowLastColumn="0"/>
              <w:rPr>
                <w:rFonts w:cs="Arial"/>
                <w:b w:val="0"/>
                <w:bCs w:val="0"/>
                <w:snapToGrid/>
                <w:color w:val="000000"/>
                <w:szCs w:val="24"/>
              </w:rPr>
            </w:pPr>
            <w:r w:rsidRPr="008B1CB1">
              <w:rPr>
                <w:rFonts w:cs="Arial"/>
                <w:snapToGrid/>
                <w:color w:val="000000"/>
                <w:szCs w:val="24"/>
              </w:rPr>
              <w:t>Educators Served</w:t>
            </w:r>
          </w:p>
        </w:tc>
        <w:tc>
          <w:tcPr>
            <w:tcW w:w="780" w:type="pct"/>
            <w:tcBorders>
              <w:bottom w:val="none" w:sz="0" w:space="0" w:color="auto"/>
            </w:tcBorders>
            <w:shd w:val="clear" w:color="auto" w:fill="D9D9D9" w:themeFill="background1" w:themeFillShade="D9"/>
            <w:vAlign w:val="center"/>
            <w:hideMark/>
          </w:tcPr>
          <w:p w14:paraId="7E734F1F" w14:textId="77777777" w:rsidR="00626A44" w:rsidRPr="008B1CB1" w:rsidRDefault="00626A44" w:rsidP="00511C18">
            <w:pPr>
              <w:widowControl/>
              <w:jc w:val="center"/>
              <w:cnfStyle w:val="100000000000" w:firstRow="1" w:lastRow="0" w:firstColumn="0" w:lastColumn="0" w:oddVBand="0" w:evenVBand="0" w:oddHBand="0" w:evenHBand="0" w:firstRowFirstColumn="0" w:firstRowLastColumn="0" w:lastRowFirstColumn="0" w:lastRowLastColumn="0"/>
              <w:rPr>
                <w:rFonts w:cs="Arial"/>
                <w:b w:val="0"/>
                <w:bCs w:val="0"/>
                <w:snapToGrid/>
                <w:color w:val="000000"/>
                <w:szCs w:val="24"/>
              </w:rPr>
            </w:pPr>
            <w:r w:rsidRPr="008B1CB1">
              <w:rPr>
                <w:rFonts w:cs="Arial"/>
                <w:snapToGrid/>
                <w:color w:val="000000"/>
                <w:szCs w:val="24"/>
              </w:rPr>
              <w:t>Total Enrollment</w:t>
            </w:r>
          </w:p>
        </w:tc>
        <w:tc>
          <w:tcPr>
            <w:tcW w:w="458" w:type="pct"/>
            <w:tcBorders>
              <w:bottom w:val="none" w:sz="0" w:space="0" w:color="auto"/>
            </w:tcBorders>
            <w:shd w:val="clear" w:color="auto" w:fill="D9D9D9" w:themeFill="background1" w:themeFillShade="D9"/>
            <w:vAlign w:val="center"/>
            <w:hideMark/>
          </w:tcPr>
          <w:p w14:paraId="28AF5A44" w14:textId="77777777" w:rsidR="00626A44" w:rsidRPr="008B1CB1" w:rsidRDefault="00626A44" w:rsidP="00511C18">
            <w:pPr>
              <w:widowControl/>
              <w:jc w:val="center"/>
              <w:cnfStyle w:val="100000000000" w:firstRow="1" w:lastRow="0" w:firstColumn="0" w:lastColumn="0" w:oddVBand="0" w:evenVBand="0" w:oddHBand="0" w:evenHBand="0" w:firstRowFirstColumn="0" w:firstRowLastColumn="0" w:lastRowFirstColumn="0" w:lastRowLastColumn="0"/>
              <w:rPr>
                <w:rFonts w:cs="Arial"/>
                <w:b w:val="0"/>
                <w:bCs w:val="0"/>
                <w:snapToGrid/>
                <w:color w:val="000000"/>
                <w:szCs w:val="24"/>
              </w:rPr>
            </w:pPr>
            <w:r w:rsidRPr="008B1CB1">
              <w:rPr>
                <w:rFonts w:cs="Arial"/>
                <w:snapToGrid/>
                <w:color w:val="000000"/>
                <w:szCs w:val="24"/>
              </w:rPr>
              <w:t>AA</w:t>
            </w:r>
          </w:p>
        </w:tc>
        <w:tc>
          <w:tcPr>
            <w:tcW w:w="506" w:type="pct"/>
            <w:tcBorders>
              <w:bottom w:val="none" w:sz="0" w:space="0" w:color="auto"/>
            </w:tcBorders>
            <w:shd w:val="clear" w:color="auto" w:fill="D9D9D9" w:themeFill="background1" w:themeFillShade="D9"/>
            <w:vAlign w:val="center"/>
            <w:hideMark/>
          </w:tcPr>
          <w:p w14:paraId="6A269BDF" w14:textId="77777777" w:rsidR="00626A44" w:rsidRPr="008B1CB1" w:rsidRDefault="00626A44" w:rsidP="00511C18">
            <w:pPr>
              <w:widowControl/>
              <w:jc w:val="center"/>
              <w:cnfStyle w:val="100000000000" w:firstRow="1" w:lastRow="0" w:firstColumn="0" w:lastColumn="0" w:oddVBand="0" w:evenVBand="0" w:oddHBand="0" w:evenHBand="0" w:firstRowFirstColumn="0" w:firstRowLastColumn="0" w:lastRowFirstColumn="0" w:lastRowLastColumn="0"/>
              <w:rPr>
                <w:rFonts w:cs="Arial"/>
                <w:b w:val="0"/>
                <w:bCs w:val="0"/>
                <w:snapToGrid/>
                <w:color w:val="000000"/>
                <w:szCs w:val="24"/>
              </w:rPr>
            </w:pPr>
            <w:r w:rsidRPr="008B1CB1">
              <w:rPr>
                <w:rFonts w:cs="Arial"/>
                <w:snapToGrid/>
                <w:color w:val="000000"/>
                <w:szCs w:val="24"/>
              </w:rPr>
              <w:t>EL</w:t>
            </w:r>
          </w:p>
        </w:tc>
        <w:tc>
          <w:tcPr>
            <w:tcW w:w="548" w:type="pct"/>
            <w:tcBorders>
              <w:bottom w:val="none" w:sz="0" w:space="0" w:color="auto"/>
            </w:tcBorders>
            <w:shd w:val="clear" w:color="auto" w:fill="D9D9D9" w:themeFill="background1" w:themeFillShade="D9"/>
            <w:vAlign w:val="center"/>
            <w:hideMark/>
          </w:tcPr>
          <w:p w14:paraId="6636AA8D" w14:textId="77777777" w:rsidR="00626A44" w:rsidRPr="008B1CB1" w:rsidRDefault="00626A44" w:rsidP="00511C18">
            <w:pPr>
              <w:widowControl/>
              <w:jc w:val="center"/>
              <w:cnfStyle w:val="100000000000" w:firstRow="1" w:lastRow="0" w:firstColumn="0" w:lastColumn="0" w:oddVBand="0" w:evenVBand="0" w:oddHBand="0" w:evenHBand="0" w:firstRowFirstColumn="0" w:firstRowLastColumn="0" w:lastRowFirstColumn="0" w:lastRowLastColumn="0"/>
              <w:rPr>
                <w:rFonts w:cs="Arial"/>
                <w:b w:val="0"/>
                <w:bCs w:val="0"/>
                <w:snapToGrid/>
                <w:color w:val="000000"/>
                <w:szCs w:val="24"/>
              </w:rPr>
            </w:pPr>
            <w:r w:rsidRPr="008B1CB1">
              <w:rPr>
                <w:rFonts w:cs="Arial"/>
                <w:snapToGrid/>
                <w:color w:val="000000"/>
                <w:szCs w:val="24"/>
              </w:rPr>
              <w:t>SWD</w:t>
            </w:r>
          </w:p>
        </w:tc>
      </w:tr>
      <w:tr w:rsidR="00626A44" w:rsidRPr="00595D37" w14:paraId="069A1473" w14:textId="77777777" w:rsidTr="00D31172">
        <w:trPr>
          <w:trHeight w:val="12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8D3E9E8"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74C15C4B"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A. J. Dorsa Elementary</w:t>
            </w:r>
          </w:p>
        </w:tc>
        <w:tc>
          <w:tcPr>
            <w:tcW w:w="734" w:type="pct"/>
            <w:noWrap/>
            <w:vAlign w:val="center"/>
            <w:hideMark/>
          </w:tcPr>
          <w:p w14:paraId="38FEA28E"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22</w:t>
            </w:r>
          </w:p>
        </w:tc>
        <w:tc>
          <w:tcPr>
            <w:tcW w:w="780" w:type="pct"/>
            <w:vAlign w:val="center"/>
            <w:hideMark/>
          </w:tcPr>
          <w:p w14:paraId="1BAEFE6D"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371</w:t>
            </w:r>
          </w:p>
        </w:tc>
        <w:tc>
          <w:tcPr>
            <w:tcW w:w="458" w:type="pct"/>
            <w:vAlign w:val="center"/>
            <w:hideMark/>
          </w:tcPr>
          <w:p w14:paraId="23635119"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6</w:t>
            </w:r>
          </w:p>
        </w:tc>
        <w:tc>
          <w:tcPr>
            <w:tcW w:w="506" w:type="pct"/>
            <w:vAlign w:val="center"/>
            <w:hideMark/>
          </w:tcPr>
          <w:p w14:paraId="342AFA15"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181</w:t>
            </w:r>
          </w:p>
        </w:tc>
        <w:tc>
          <w:tcPr>
            <w:tcW w:w="548" w:type="pct"/>
            <w:vAlign w:val="center"/>
            <w:hideMark/>
          </w:tcPr>
          <w:p w14:paraId="6FC8D4D6"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40</w:t>
            </w:r>
          </w:p>
        </w:tc>
      </w:tr>
      <w:tr w:rsidR="00626A44" w:rsidRPr="00595D37" w14:paraId="6A667AA9" w14:textId="77777777" w:rsidTr="00D31172">
        <w:trPr>
          <w:trHeight w:val="18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600F393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43140BF0"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Adelante Dual Language Academy</w:t>
            </w:r>
          </w:p>
        </w:tc>
        <w:tc>
          <w:tcPr>
            <w:tcW w:w="734" w:type="pct"/>
            <w:noWrap/>
            <w:vAlign w:val="center"/>
            <w:hideMark/>
          </w:tcPr>
          <w:p w14:paraId="731ADF29"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29</w:t>
            </w:r>
          </w:p>
        </w:tc>
        <w:tc>
          <w:tcPr>
            <w:tcW w:w="780" w:type="pct"/>
            <w:vAlign w:val="center"/>
            <w:hideMark/>
          </w:tcPr>
          <w:p w14:paraId="68F01417"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528</w:t>
            </w:r>
          </w:p>
        </w:tc>
        <w:tc>
          <w:tcPr>
            <w:tcW w:w="458" w:type="pct"/>
            <w:vAlign w:val="center"/>
            <w:hideMark/>
          </w:tcPr>
          <w:p w14:paraId="5D3F9B48"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4</w:t>
            </w:r>
          </w:p>
        </w:tc>
        <w:tc>
          <w:tcPr>
            <w:tcW w:w="506" w:type="pct"/>
            <w:vAlign w:val="center"/>
            <w:hideMark/>
          </w:tcPr>
          <w:p w14:paraId="6C350CB1"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200</w:t>
            </w:r>
          </w:p>
        </w:tc>
        <w:tc>
          <w:tcPr>
            <w:tcW w:w="548" w:type="pct"/>
            <w:vAlign w:val="center"/>
            <w:hideMark/>
          </w:tcPr>
          <w:p w14:paraId="4A34E5F3"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30</w:t>
            </w:r>
          </w:p>
        </w:tc>
      </w:tr>
      <w:tr w:rsidR="00626A44" w:rsidRPr="00595D37" w14:paraId="77FA6C3C" w14:textId="77777777" w:rsidTr="00D31172">
        <w:trPr>
          <w:trHeight w:val="9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87C87F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5C7A4356"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Adelante Dual Language Academy II</w:t>
            </w:r>
          </w:p>
        </w:tc>
        <w:tc>
          <w:tcPr>
            <w:tcW w:w="734" w:type="pct"/>
            <w:noWrap/>
            <w:vAlign w:val="center"/>
            <w:hideMark/>
          </w:tcPr>
          <w:p w14:paraId="59762444"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10</w:t>
            </w:r>
          </w:p>
        </w:tc>
        <w:tc>
          <w:tcPr>
            <w:tcW w:w="780" w:type="pct"/>
            <w:vAlign w:val="center"/>
            <w:hideMark/>
          </w:tcPr>
          <w:p w14:paraId="245A1F5E"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172</w:t>
            </w:r>
          </w:p>
        </w:tc>
        <w:tc>
          <w:tcPr>
            <w:tcW w:w="458" w:type="pct"/>
            <w:vAlign w:val="center"/>
            <w:hideMark/>
          </w:tcPr>
          <w:p w14:paraId="30722ABF"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0</w:t>
            </w:r>
          </w:p>
        </w:tc>
        <w:tc>
          <w:tcPr>
            <w:tcW w:w="506" w:type="pct"/>
            <w:vAlign w:val="center"/>
            <w:hideMark/>
          </w:tcPr>
          <w:p w14:paraId="26DEB3CF"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113</w:t>
            </w:r>
          </w:p>
        </w:tc>
        <w:tc>
          <w:tcPr>
            <w:tcW w:w="548" w:type="pct"/>
            <w:vAlign w:val="center"/>
            <w:hideMark/>
          </w:tcPr>
          <w:p w14:paraId="48A4DE8C"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4</w:t>
            </w:r>
          </w:p>
        </w:tc>
      </w:tr>
      <w:tr w:rsidR="00626A44" w:rsidRPr="00595D37" w14:paraId="2C5F782C"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5D172FA8"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5D8C3598"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Ben Painter Elementary</w:t>
            </w:r>
          </w:p>
        </w:tc>
        <w:tc>
          <w:tcPr>
            <w:tcW w:w="734" w:type="pct"/>
            <w:noWrap/>
            <w:vAlign w:val="center"/>
            <w:hideMark/>
          </w:tcPr>
          <w:p w14:paraId="66F0E1D5"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22</w:t>
            </w:r>
          </w:p>
        </w:tc>
        <w:tc>
          <w:tcPr>
            <w:tcW w:w="780" w:type="pct"/>
            <w:noWrap/>
            <w:vAlign w:val="center"/>
            <w:hideMark/>
          </w:tcPr>
          <w:p w14:paraId="42148B82"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334</w:t>
            </w:r>
          </w:p>
        </w:tc>
        <w:tc>
          <w:tcPr>
            <w:tcW w:w="458" w:type="pct"/>
            <w:noWrap/>
            <w:vAlign w:val="center"/>
            <w:hideMark/>
          </w:tcPr>
          <w:p w14:paraId="2938DFFB"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2</w:t>
            </w:r>
          </w:p>
        </w:tc>
        <w:tc>
          <w:tcPr>
            <w:tcW w:w="506" w:type="pct"/>
            <w:noWrap/>
            <w:vAlign w:val="center"/>
            <w:hideMark/>
          </w:tcPr>
          <w:p w14:paraId="05F56D4A"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117</w:t>
            </w:r>
          </w:p>
        </w:tc>
        <w:tc>
          <w:tcPr>
            <w:tcW w:w="548" w:type="pct"/>
            <w:noWrap/>
            <w:vAlign w:val="center"/>
            <w:hideMark/>
          </w:tcPr>
          <w:p w14:paraId="336E5FD7"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27</w:t>
            </w:r>
          </w:p>
        </w:tc>
      </w:tr>
      <w:tr w:rsidR="00626A44" w:rsidRPr="00595D37" w14:paraId="069CEE42"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65920B3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2EC652DE"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Cesar Chavez Elementary</w:t>
            </w:r>
          </w:p>
        </w:tc>
        <w:tc>
          <w:tcPr>
            <w:tcW w:w="734" w:type="pct"/>
            <w:noWrap/>
            <w:vAlign w:val="center"/>
            <w:hideMark/>
          </w:tcPr>
          <w:p w14:paraId="0965E678"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23</w:t>
            </w:r>
          </w:p>
        </w:tc>
        <w:tc>
          <w:tcPr>
            <w:tcW w:w="780" w:type="pct"/>
            <w:noWrap/>
            <w:vAlign w:val="center"/>
            <w:hideMark/>
          </w:tcPr>
          <w:p w14:paraId="25473893"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344</w:t>
            </w:r>
          </w:p>
        </w:tc>
        <w:tc>
          <w:tcPr>
            <w:tcW w:w="458" w:type="pct"/>
            <w:noWrap/>
            <w:vAlign w:val="center"/>
            <w:hideMark/>
          </w:tcPr>
          <w:p w14:paraId="385234F9"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2</w:t>
            </w:r>
          </w:p>
        </w:tc>
        <w:tc>
          <w:tcPr>
            <w:tcW w:w="506" w:type="pct"/>
            <w:noWrap/>
            <w:vAlign w:val="center"/>
            <w:hideMark/>
          </w:tcPr>
          <w:p w14:paraId="44C6F891"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213</w:t>
            </w:r>
          </w:p>
        </w:tc>
        <w:tc>
          <w:tcPr>
            <w:tcW w:w="548" w:type="pct"/>
            <w:noWrap/>
            <w:vAlign w:val="center"/>
            <w:hideMark/>
          </w:tcPr>
          <w:p w14:paraId="203AB0CA"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22</w:t>
            </w:r>
          </w:p>
        </w:tc>
      </w:tr>
      <w:tr w:rsidR="00626A44" w:rsidRPr="00595D37" w14:paraId="6DCF783A"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4D6D0848"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6AE395BC"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Clyde Arbuckle Elementary</w:t>
            </w:r>
          </w:p>
        </w:tc>
        <w:tc>
          <w:tcPr>
            <w:tcW w:w="734" w:type="pct"/>
            <w:noWrap/>
            <w:vAlign w:val="center"/>
            <w:hideMark/>
          </w:tcPr>
          <w:p w14:paraId="37F4367F"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16</w:t>
            </w:r>
          </w:p>
        </w:tc>
        <w:tc>
          <w:tcPr>
            <w:tcW w:w="780" w:type="pct"/>
            <w:noWrap/>
            <w:vAlign w:val="center"/>
            <w:hideMark/>
          </w:tcPr>
          <w:p w14:paraId="2EDB80E0"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223</w:t>
            </w:r>
          </w:p>
        </w:tc>
        <w:tc>
          <w:tcPr>
            <w:tcW w:w="458" w:type="pct"/>
            <w:noWrap/>
            <w:vAlign w:val="center"/>
            <w:hideMark/>
          </w:tcPr>
          <w:p w14:paraId="35EBE9F1"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2</w:t>
            </w:r>
          </w:p>
        </w:tc>
        <w:tc>
          <w:tcPr>
            <w:tcW w:w="506" w:type="pct"/>
            <w:noWrap/>
            <w:vAlign w:val="center"/>
            <w:hideMark/>
          </w:tcPr>
          <w:p w14:paraId="367A90DA"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128</w:t>
            </w:r>
          </w:p>
        </w:tc>
        <w:tc>
          <w:tcPr>
            <w:tcW w:w="548" w:type="pct"/>
            <w:noWrap/>
            <w:vAlign w:val="center"/>
            <w:hideMark/>
          </w:tcPr>
          <w:p w14:paraId="1713CDEB"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46</w:t>
            </w:r>
          </w:p>
        </w:tc>
      </w:tr>
      <w:tr w:rsidR="00626A44" w:rsidRPr="00595D37" w14:paraId="5352A16B"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4B442A54"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1118A9AB"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Clyde L. Fischer Middle</w:t>
            </w:r>
          </w:p>
        </w:tc>
        <w:tc>
          <w:tcPr>
            <w:tcW w:w="734" w:type="pct"/>
            <w:noWrap/>
            <w:vAlign w:val="center"/>
            <w:hideMark/>
          </w:tcPr>
          <w:p w14:paraId="7A31ADBB"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18</w:t>
            </w:r>
          </w:p>
        </w:tc>
        <w:tc>
          <w:tcPr>
            <w:tcW w:w="780" w:type="pct"/>
            <w:noWrap/>
            <w:vAlign w:val="center"/>
            <w:hideMark/>
          </w:tcPr>
          <w:p w14:paraId="5EE2CA01"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289</w:t>
            </w:r>
          </w:p>
        </w:tc>
        <w:tc>
          <w:tcPr>
            <w:tcW w:w="458" w:type="pct"/>
            <w:noWrap/>
            <w:vAlign w:val="center"/>
            <w:hideMark/>
          </w:tcPr>
          <w:p w14:paraId="3D6C77EF"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16</w:t>
            </w:r>
          </w:p>
        </w:tc>
        <w:tc>
          <w:tcPr>
            <w:tcW w:w="506" w:type="pct"/>
            <w:noWrap/>
            <w:vAlign w:val="center"/>
            <w:hideMark/>
          </w:tcPr>
          <w:p w14:paraId="0541D110"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118</w:t>
            </w:r>
          </w:p>
        </w:tc>
        <w:tc>
          <w:tcPr>
            <w:tcW w:w="548" w:type="pct"/>
            <w:noWrap/>
            <w:vAlign w:val="center"/>
            <w:hideMark/>
          </w:tcPr>
          <w:p w14:paraId="48FDFFFE"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46</w:t>
            </w:r>
          </w:p>
        </w:tc>
      </w:tr>
      <w:tr w:rsidR="00626A44" w:rsidRPr="00595D37" w14:paraId="58723EDF"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24076029"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4A00DA03"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Donald J. Meyer Elementary</w:t>
            </w:r>
          </w:p>
        </w:tc>
        <w:tc>
          <w:tcPr>
            <w:tcW w:w="734" w:type="pct"/>
            <w:noWrap/>
            <w:vAlign w:val="center"/>
            <w:hideMark/>
          </w:tcPr>
          <w:p w14:paraId="1DB88C1E"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23</w:t>
            </w:r>
          </w:p>
        </w:tc>
        <w:tc>
          <w:tcPr>
            <w:tcW w:w="780" w:type="pct"/>
            <w:noWrap/>
            <w:vAlign w:val="center"/>
            <w:hideMark/>
          </w:tcPr>
          <w:p w14:paraId="4BE42B5F"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369</w:t>
            </w:r>
          </w:p>
        </w:tc>
        <w:tc>
          <w:tcPr>
            <w:tcW w:w="458" w:type="pct"/>
            <w:noWrap/>
            <w:vAlign w:val="center"/>
            <w:hideMark/>
          </w:tcPr>
          <w:p w14:paraId="0B60B880"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3</w:t>
            </w:r>
          </w:p>
        </w:tc>
        <w:tc>
          <w:tcPr>
            <w:tcW w:w="506" w:type="pct"/>
            <w:noWrap/>
            <w:vAlign w:val="center"/>
            <w:hideMark/>
          </w:tcPr>
          <w:p w14:paraId="1892C9F0"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174</w:t>
            </w:r>
          </w:p>
        </w:tc>
        <w:tc>
          <w:tcPr>
            <w:tcW w:w="548" w:type="pct"/>
            <w:noWrap/>
            <w:vAlign w:val="center"/>
            <w:hideMark/>
          </w:tcPr>
          <w:p w14:paraId="5259C1F2"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46</w:t>
            </w:r>
          </w:p>
        </w:tc>
      </w:tr>
      <w:tr w:rsidR="00626A44" w:rsidRPr="00595D37" w14:paraId="7E1B8F16"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1E2E8AC"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6904EB65"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Horace Cureton Elementary</w:t>
            </w:r>
          </w:p>
        </w:tc>
        <w:tc>
          <w:tcPr>
            <w:tcW w:w="734" w:type="pct"/>
            <w:noWrap/>
            <w:vAlign w:val="center"/>
            <w:hideMark/>
          </w:tcPr>
          <w:p w14:paraId="7CC76485"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22</w:t>
            </w:r>
          </w:p>
        </w:tc>
        <w:tc>
          <w:tcPr>
            <w:tcW w:w="780" w:type="pct"/>
            <w:noWrap/>
            <w:vAlign w:val="center"/>
            <w:hideMark/>
          </w:tcPr>
          <w:p w14:paraId="08683290"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385</w:t>
            </w:r>
          </w:p>
        </w:tc>
        <w:tc>
          <w:tcPr>
            <w:tcW w:w="458" w:type="pct"/>
            <w:noWrap/>
            <w:vAlign w:val="center"/>
            <w:hideMark/>
          </w:tcPr>
          <w:p w14:paraId="206875B0"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3</w:t>
            </w:r>
          </w:p>
        </w:tc>
        <w:tc>
          <w:tcPr>
            <w:tcW w:w="506" w:type="pct"/>
            <w:noWrap/>
            <w:vAlign w:val="center"/>
            <w:hideMark/>
          </w:tcPr>
          <w:p w14:paraId="62779D54"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174</w:t>
            </w:r>
          </w:p>
        </w:tc>
        <w:tc>
          <w:tcPr>
            <w:tcW w:w="548" w:type="pct"/>
            <w:noWrap/>
            <w:vAlign w:val="center"/>
            <w:hideMark/>
          </w:tcPr>
          <w:p w14:paraId="21DB88CB" w14:textId="77777777" w:rsidR="00626A44" w:rsidRPr="008B1CB1"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8B1CB1">
              <w:rPr>
                <w:rFonts w:cs="Arial"/>
                <w:snapToGrid/>
                <w:color w:val="000000"/>
                <w:szCs w:val="24"/>
              </w:rPr>
              <w:t>50</w:t>
            </w:r>
          </w:p>
        </w:tc>
      </w:tr>
      <w:tr w:rsidR="00626A44" w:rsidRPr="00595D37" w14:paraId="4D5AEE39"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024D39CE"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67AF3C3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Joseph George Middle</w:t>
            </w:r>
          </w:p>
        </w:tc>
        <w:tc>
          <w:tcPr>
            <w:tcW w:w="734" w:type="pct"/>
            <w:noWrap/>
            <w:vAlign w:val="center"/>
            <w:hideMark/>
          </w:tcPr>
          <w:p w14:paraId="48A62CE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29</w:t>
            </w:r>
          </w:p>
        </w:tc>
        <w:tc>
          <w:tcPr>
            <w:tcW w:w="780" w:type="pct"/>
            <w:noWrap/>
            <w:vAlign w:val="center"/>
            <w:hideMark/>
          </w:tcPr>
          <w:p w14:paraId="2A1479D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521</w:t>
            </w:r>
          </w:p>
        </w:tc>
        <w:tc>
          <w:tcPr>
            <w:tcW w:w="458" w:type="pct"/>
            <w:noWrap/>
            <w:vAlign w:val="center"/>
            <w:hideMark/>
          </w:tcPr>
          <w:p w14:paraId="6E943A7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506" w:type="pct"/>
            <w:noWrap/>
            <w:vAlign w:val="center"/>
            <w:hideMark/>
          </w:tcPr>
          <w:p w14:paraId="479330D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162</w:t>
            </w:r>
          </w:p>
        </w:tc>
        <w:tc>
          <w:tcPr>
            <w:tcW w:w="548" w:type="pct"/>
            <w:noWrap/>
            <w:vAlign w:val="center"/>
            <w:hideMark/>
          </w:tcPr>
          <w:p w14:paraId="74C53A4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60</w:t>
            </w:r>
          </w:p>
        </w:tc>
      </w:tr>
      <w:tr w:rsidR="00626A44" w:rsidRPr="00595D37" w14:paraId="0032A517" w14:textId="77777777" w:rsidTr="00D31172">
        <w:trPr>
          <w:trHeight w:val="18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471CE8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lastRenderedPageBreak/>
              <w:t>Alum Rock Union Elementary</w:t>
            </w:r>
          </w:p>
        </w:tc>
        <w:tc>
          <w:tcPr>
            <w:tcW w:w="1059" w:type="pct"/>
            <w:vAlign w:val="center"/>
            <w:hideMark/>
          </w:tcPr>
          <w:p w14:paraId="0D0E133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Learning in an Urban Community with High Achievement (L.U.C.H.A.)</w:t>
            </w:r>
          </w:p>
        </w:tc>
        <w:tc>
          <w:tcPr>
            <w:tcW w:w="734" w:type="pct"/>
            <w:noWrap/>
            <w:vAlign w:val="center"/>
            <w:hideMark/>
          </w:tcPr>
          <w:p w14:paraId="7004524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18</w:t>
            </w:r>
          </w:p>
        </w:tc>
        <w:tc>
          <w:tcPr>
            <w:tcW w:w="780" w:type="pct"/>
            <w:noWrap/>
            <w:vAlign w:val="center"/>
            <w:hideMark/>
          </w:tcPr>
          <w:p w14:paraId="70D5BFE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283</w:t>
            </w:r>
          </w:p>
        </w:tc>
        <w:tc>
          <w:tcPr>
            <w:tcW w:w="458" w:type="pct"/>
            <w:noWrap/>
            <w:vAlign w:val="center"/>
            <w:hideMark/>
          </w:tcPr>
          <w:p w14:paraId="532F73F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w:t>
            </w:r>
          </w:p>
        </w:tc>
        <w:tc>
          <w:tcPr>
            <w:tcW w:w="506" w:type="pct"/>
            <w:noWrap/>
            <w:vAlign w:val="center"/>
            <w:hideMark/>
          </w:tcPr>
          <w:p w14:paraId="5E8047A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130</w:t>
            </w:r>
          </w:p>
        </w:tc>
        <w:tc>
          <w:tcPr>
            <w:tcW w:w="548" w:type="pct"/>
            <w:noWrap/>
            <w:vAlign w:val="center"/>
            <w:hideMark/>
          </w:tcPr>
          <w:p w14:paraId="7A49E71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24</w:t>
            </w:r>
          </w:p>
        </w:tc>
      </w:tr>
      <w:tr w:rsidR="00626A44" w:rsidRPr="00595D37" w14:paraId="114543B7"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1F40719"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79C1163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 xml:space="preserve">Lee </w:t>
            </w:r>
            <w:proofErr w:type="spellStart"/>
            <w:r w:rsidRPr="00595D37">
              <w:rPr>
                <w:rFonts w:cs="Arial"/>
                <w:snapToGrid/>
                <w:color w:val="000000"/>
                <w:szCs w:val="24"/>
              </w:rPr>
              <w:t>Mathson</w:t>
            </w:r>
            <w:proofErr w:type="spellEnd"/>
            <w:r w:rsidRPr="00595D37">
              <w:rPr>
                <w:rFonts w:cs="Arial"/>
                <w:snapToGrid/>
                <w:color w:val="000000"/>
                <w:szCs w:val="24"/>
              </w:rPr>
              <w:t xml:space="preserve"> Middle</w:t>
            </w:r>
          </w:p>
        </w:tc>
        <w:tc>
          <w:tcPr>
            <w:tcW w:w="734" w:type="pct"/>
            <w:noWrap/>
            <w:vAlign w:val="center"/>
            <w:hideMark/>
          </w:tcPr>
          <w:p w14:paraId="7F7DEC7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14</w:t>
            </w:r>
          </w:p>
        </w:tc>
        <w:tc>
          <w:tcPr>
            <w:tcW w:w="780" w:type="pct"/>
            <w:noWrap/>
            <w:vAlign w:val="center"/>
            <w:hideMark/>
          </w:tcPr>
          <w:p w14:paraId="1CE5326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293</w:t>
            </w:r>
          </w:p>
        </w:tc>
        <w:tc>
          <w:tcPr>
            <w:tcW w:w="458" w:type="pct"/>
            <w:noWrap/>
            <w:vAlign w:val="center"/>
            <w:hideMark/>
          </w:tcPr>
          <w:p w14:paraId="1FCC450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11</w:t>
            </w:r>
          </w:p>
        </w:tc>
        <w:tc>
          <w:tcPr>
            <w:tcW w:w="506" w:type="pct"/>
            <w:noWrap/>
            <w:vAlign w:val="center"/>
            <w:hideMark/>
          </w:tcPr>
          <w:p w14:paraId="7A82128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110</w:t>
            </w:r>
          </w:p>
        </w:tc>
        <w:tc>
          <w:tcPr>
            <w:tcW w:w="548" w:type="pct"/>
            <w:noWrap/>
            <w:vAlign w:val="center"/>
            <w:hideMark/>
          </w:tcPr>
          <w:p w14:paraId="6B0DF38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47</w:t>
            </w:r>
          </w:p>
        </w:tc>
      </w:tr>
      <w:tr w:rsidR="00626A44" w:rsidRPr="00595D37" w14:paraId="733B86B8"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29436EB7"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1AFB34E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Linda Vista Elementary</w:t>
            </w:r>
          </w:p>
        </w:tc>
        <w:tc>
          <w:tcPr>
            <w:tcW w:w="734" w:type="pct"/>
            <w:noWrap/>
            <w:vAlign w:val="center"/>
            <w:hideMark/>
          </w:tcPr>
          <w:p w14:paraId="3229544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29</w:t>
            </w:r>
          </w:p>
        </w:tc>
        <w:tc>
          <w:tcPr>
            <w:tcW w:w="780" w:type="pct"/>
            <w:noWrap/>
            <w:vAlign w:val="center"/>
            <w:hideMark/>
          </w:tcPr>
          <w:p w14:paraId="7692801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512</w:t>
            </w:r>
          </w:p>
        </w:tc>
        <w:tc>
          <w:tcPr>
            <w:tcW w:w="458" w:type="pct"/>
            <w:noWrap/>
            <w:vAlign w:val="center"/>
            <w:hideMark/>
          </w:tcPr>
          <w:p w14:paraId="6D48752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w:t>
            </w:r>
          </w:p>
        </w:tc>
        <w:tc>
          <w:tcPr>
            <w:tcW w:w="506" w:type="pct"/>
            <w:noWrap/>
            <w:vAlign w:val="center"/>
            <w:hideMark/>
          </w:tcPr>
          <w:p w14:paraId="0FC2423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198</w:t>
            </w:r>
          </w:p>
        </w:tc>
        <w:tc>
          <w:tcPr>
            <w:tcW w:w="548" w:type="pct"/>
            <w:noWrap/>
            <w:vAlign w:val="center"/>
            <w:hideMark/>
          </w:tcPr>
          <w:p w14:paraId="2A72052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58</w:t>
            </w:r>
          </w:p>
        </w:tc>
      </w:tr>
      <w:tr w:rsidR="00626A44" w:rsidRPr="00595D37" w14:paraId="4C9737B2"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4DAC48D7"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65732DA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Lyndale Elementary</w:t>
            </w:r>
          </w:p>
        </w:tc>
        <w:tc>
          <w:tcPr>
            <w:tcW w:w="734" w:type="pct"/>
            <w:noWrap/>
            <w:vAlign w:val="center"/>
            <w:hideMark/>
          </w:tcPr>
          <w:p w14:paraId="0EAB5FC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25</w:t>
            </w:r>
          </w:p>
        </w:tc>
        <w:tc>
          <w:tcPr>
            <w:tcW w:w="780" w:type="pct"/>
            <w:noWrap/>
            <w:vAlign w:val="center"/>
            <w:hideMark/>
          </w:tcPr>
          <w:p w14:paraId="5F86DFD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334</w:t>
            </w:r>
          </w:p>
        </w:tc>
        <w:tc>
          <w:tcPr>
            <w:tcW w:w="458" w:type="pct"/>
            <w:noWrap/>
            <w:vAlign w:val="center"/>
            <w:hideMark/>
          </w:tcPr>
          <w:p w14:paraId="54450C1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w:t>
            </w:r>
          </w:p>
        </w:tc>
        <w:tc>
          <w:tcPr>
            <w:tcW w:w="506" w:type="pct"/>
            <w:noWrap/>
            <w:vAlign w:val="center"/>
            <w:hideMark/>
          </w:tcPr>
          <w:p w14:paraId="77ED02C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176</w:t>
            </w:r>
          </w:p>
        </w:tc>
        <w:tc>
          <w:tcPr>
            <w:tcW w:w="548" w:type="pct"/>
            <w:noWrap/>
            <w:vAlign w:val="center"/>
            <w:hideMark/>
          </w:tcPr>
          <w:p w14:paraId="5A8F756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31</w:t>
            </w:r>
          </w:p>
        </w:tc>
      </w:tr>
      <w:tr w:rsidR="00626A44" w:rsidRPr="00595D37" w14:paraId="554EDB61"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6040949C"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2892028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 xml:space="preserve">Millard </w:t>
            </w:r>
            <w:proofErr w:type="spellStart"/>
            <w:r w:rsidRPr="00595D37">
              <w:rPr>
                <w:rFonts w:cs="Arial"/>
                <w:snapToGrid/>
                <w:color w:val="000000"/>
                <w:szCs w:val="24"/>
              </w:rPr>
              <w:t>McCollam</w:t>
            </w:r>
            <w:proofErr w:type="spellEnd"/>
            <w:r w:rsidRPr="00595D37">
              <w:rPr>
                <w:rFonts w:cs="Arial"/>
                <w:snapToGrid/>
                <w:color w:val="000000"/>
                <w:szCs w:val="24"/>
              </w:rPr>
              <w:t xml:space="preserve"> Elementary</w:t>
            </w:r>
          </w:p>
        </w:tc>
        <w:tc>
          <w:tcPr>
            <w:tcW w:w="734" w:type="pct"/>
            <w:noWrap/>
            <w:vAlign w:val="center"/>
            <w:hideMark/>
          </w:tcPr>
          <w:p w14:paraId="0478F24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29</w:t>
            </w:r>
          </w:p>
        </w:tc>
        <w:tc>
          <w:tcPr>
            <w:tcW w:w="780" w:type="pct"/>
            <w:noWrap/>
            <w:vAlign w:val="center"/>
            <w:hideMark/>
          </w:tcPr>
          <w:p w14:paraId="2EF36ED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502</w:t>
            </w:r>
          </w:p>
        </w:tc>
        <w:tc>
          <w:tcPr>
            <w:tcW w:w="458" w:type="pct"/>
            <w:noWrap/>
            <w:vAlign w:val="center"/>
            <w:hideMark/>
          </w:tcPr>
          <w:p w14:paraId="4BEF771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506" w:type="pct"/>
            <w:noWrap/>
            <w:vAlign w:val="center"/>
            <w:hideMark/>
          </w:tcPr>
          <w:p w14:paraId="3CB93A9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171</w:t>
            </w:r>
          </w:p>
        </w:tc>
        <w:tc>
          <w:tcPr>
            <w:tcW w:w="548" w:type="pct"/>
            <w:noWrap/>
            <w:vAlign w:val="center"/>
            <w:hideMark/>
          </w:tcPr>
          <w:p w14:paraId="2908E53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49</w:t>
            </w:r>
          </w:p>
        </w:tc>
      </w:tr>
      <w:tr w:rsidR="00626A44" w:rsidRPr="00595D37" w14:paraId="06858D0D"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4D42F500"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1CBDD5E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O. S. Hubbard Elementary</w:t>
            </w:r>
          </w:p>
        </w:tc>
        <w:tc>
          <w:tcPr>
            <w:tcW w:w="734" w:type="pct"/>
            <w:noWrap/>
            <w:vAlign w:val="center"/>
            <w:hideMark/>
          </w:tcPr>
          <w:p w14:paraId="39C3845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32</w:t>
            </w:r>
          </w:p>
        </w:tc>
        <w:tc>
          <w:tcPr>
            <w:tcW w:w="780" w:type="pct"/>
            <w:noWrap/>
            <w:vAlign w:val="center"/>
            <w:hideMark/>
          </w:tcPr>
          <w:p w14:paraId="1CB7CDE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622</w:t>
            </w:r>
          </w:p>
        </w:tc>
        <w:tc>
          <w:tcPr>
            <w:tcW w:w="458" w:type="pct"/>
            <w:noWrap/>
            <w:vAlign w:val="center"/>
            <w:hideMark/>
          </w:tcPr>
          <w:p w14:paraId="5262CC6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506" w:type="pct"/>
            <w:noWrap/>
            <w:vAlign w:val="center"/>
            <w:hideMark/>
          </w:tcPr>
          <w:p w14:paraId="3348F2D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272</w:t>
            </w:r>
          </w:p>
        </w:tc>
        <w:tc>
          <w:tcPr>
            <w:tcW w:w="548" w:type="pct"/>
            <w:noWrap/>
            <w:vAlign w:val="center"/>
            <w:hideMark/>
          </w:tcPr>
          <w:p w14:paraId="109A323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44</w:t>
            </w:r>
          </w:p>
        </w:tc>
      </w:tr>
      <w:tr w:rsidR="00626A44" w:rsidRPr="00595D37" w14:paraId="53B99684"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4C80E51E"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07E28EF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Ocala Middle</w:t>
            </w:r>
          </w:p>
        </w:tc>
        <w:tc>
          <w:tcPr>
            <w:tcW w:w="734" w:type="pct"/>
            <w:noWrap/>
            <w:vAlign w:val="center"/>
            <w:hideMark/>
          </w:tcPr>
          <w:p w14:paraId="1994204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25</w:t>
            </w:r>
          </w:p>
        </w:tc>
        <w:tc>
          <w:tcPr>
            <w:tcW w:w="780" w:type="pct"/>
            <w:noWrap/>
            <w:vAlign w:val="center"/>
            <w:hideMark/>
          </w:tcPr>
          <w:p w14:paraId="62A72F9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449</w:t>
            </w:r>
          </w:p>
        </w:tc>
        <w:tc>
          <w:tcPr>
            <w:tcW w:w="458" w:type="pct"/>
            <w:noWrap/>
            <w:vAlign w:val="center"/>
            <w:hideMark/>
          </w:tcPr>
          <w:p w14:paraId="42DA827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w:t>
            </w:r>
          </w:p>
        </w:tc>
        <w:tc>
          <w:tcPr>
            <w:tcW w:w="506" w:type="pct"/>
            <w:noWrap/>
            <w:vAlign w:val="center"/>
            <w:hideMark/>
          </w:tcPr>
          <w:p w14:paraId="53CCB0D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109</w:t>
            </w:r>
          </w:p>
        </w:tc>
        <w:tc>
          <w:tcPr>
            <w:tcW w:w="548" w:type="pct"/>
            <w:noWrap/>
            <w:vAlign w:val="center"/>
            <w:hideMark/>
          </w:tcPr>
          <w:p w14:paraId="6EA8906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82</w:t>
            </w:r>
          </w:p>
        </w:tc>
      </w:tr>
      <w:tr w:rsidR="00626A44" w:rsidRPr="00595D37" w14:paraId="189F67E3"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11D0159B"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76D9920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Renaissance Academy</w:t>
            </w:r>
          </w:p>
        </w:tc>
        <w:tc>
          <w:tcPr>
            <w:tcW w:w="734" w:type="pct"/>
            <w:noWrap/>
            <w:vAlign w:val="center"/>
            <w:hideMark/>
          </w:tcPr>
          <w:p w14:paraId="13C3212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16</w:t>
            </w:r>
          </w:p>
        </w:tc>
        <w:tc>
          <w:tcPr>
            <w:tcW w:w="780" w:type="pct"/>
            <w:noWrap/>
            <w:vAlign w:val="center"/>
            <w:hideMark/>
          </w:tcPr>
          <w:p w14:paraId="3FDAD71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308</w:t>
            </w:r>
          </w:p>
        </w:tc>
        <w:tc>
          <w:tcPr>
            <w:tcW w:w="458" w:type="pct"/>
            <w:noWrap/>
            <w:vAlign w:val="center"/>
            <w:hideMark/>
          </w:tcPr>
          <w:p w14:paraId="4979661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w:t>
            </w:r>
          </w:p>
        </w:tc>
        <w:tc>
          <w:tcPr>
            <w:tcW w:w="506" w:type="pct"/>
            <w:noWrap/>
            <w:vAlign w:val="center"/>
            <w:hideMark/>
          </w:tcPr>
          <w:p w14:paraId="514F568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53</w:t>
            </w:r>
          </w:p>
        </w:tc>
        <w:tc>
          <w:tcPr>
            <w:tcW w:w="548" w:type="pct"/>
            <w:noWrap/>
            <w:vAlign w:val="center"/>
            <w:hideMark/>
          </w:tcPr>
          <w:p w14:paraId="6BB84E4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34</w:t>
            </w:r>
          </w:p>
        </w:tc>
      </w:tr>
      <w:tr w:rsidR="00626A44" w:rsidRPr="00595D37" w14:paraId="67AE68F3"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6613992"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4AEA622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 xml:space="preserve">Renaissance at </w:t>
            </w:r>
            <w:proofErr w:type="spellStart"/>
            <w:r w:rsidRPr="00595D37">
              <w:rPr>
                <w:rFonts w:cs="Arial"/>
                <w:snapToGrid/>
                <w:color w:val="000000"/>
                <w:szCs w:val="24"/>
              </w:rPr>
              <w:t>Mathson</w:t>
            </w:r>
            <w:proofErr w:type="spellEnd"/>
          </w:p>
        </w:tc>
        <w:tc>
          <w:tcPr>
            <w:tcW w:w="734" w:type="pct"/>
            <w:noWrap/>
            <w:vAlign w:val="center"/>
            <w:hideMark/>
          </w:tcPr>
          <w:p w14:paraId="1CC4D41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16</w:t>
            </w:r>
          </w:p>
        </w:tc>
        <w:tc>
          <w:tcPr>
            <w:tcW w:w="780" w:type="pct"/>
            <w:noWrap/>
            <w:vAlign w:val="center"/>
            <w:hideMark/>
          </w:tcPr>
          <w:p w14:paraId="4608CF8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278</w:t>
            </w:r>
          </w:p>
        </w:tc>
        <w:tc>
          <w:tcPr>
            <w:tcW w:w="458" w:type="pct"/>
            <w:noWrap/>
            <w:vAlign w:val="center"/>
            <w:hideMark/>
          </w:tcPr>
          <w:p w14:paraId="5B0EDDE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506" w:type="pct"/>
            <w:noWrap/>
            <w:vAlign w:val="center"/>
            <w:hideMark/>
          </w:tcPr>
          <w:p w14:paraId="646337D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68</w:t>
            </w:r>
          </w:p>
        </w:tc>
        <w:tc>
          <w:tcPr>
            <w:tcW w:w="548" w:type="pct"/>
            <w:noWrap/>
            <w:vAlign w:val="center"/>
            <w:hideMark/>
          </w:tcPr>
          <w:p w14:paraId="4D62F06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39</w:t>
            </w:r>
          </w:p>
        </w:tc>
      </w:tr>
      <w:tr w:rsidR="00626A44" w:rsidRPr="00595D37" w14:paraId="17414A30"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28FD2CF0"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13B1B3E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Russo/McEntee Academy</w:t>
            </w:r>
          </w:p>
        </w:tc>
        <w:tc>
          <w:tcPr>
            <w:tcW w:w="734" w:type="pct"/>
            <w:noWrap/>
            <w:vAlign w:val="center"/>
            <w:hideMark/>
          </w:tcPr>
          <w:p w14:paraId="2350628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23</w:t>
            </w:r>
          </w:p>
        </w:tc>
        <w:tc>
          <w:tcPr>
            <w:tcW w:w="780" w:type="pct"/>
            <w:noWrap/>
            <w:vAlign w:val="center"/>
            <w:hideMark/>
          </w:tcPr>
          <w:p w14:paraId="5DE120F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446</w:t>
            </w:r>
          </w:p>
        </w:tc>
        <w:tc>
          <w:tcPr>
            <w:tcW w:w="458" w:type="pct"/>
            <w:noWrap/>
            <w:vAlign w:val="center"/>
            <w:hideMark/>
          </w:tcPr>
          <w:p w14:paraId="20BBC0D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w:t>
            </w:r>
          </w:p>
        </w:tc>
        <w:tc>
          <w:tcPr>
            <w:tcW w:w="506" w:type="pct"/>
            <w:noWrap/>
            <w:vAlign w:val="center"/>
            <w:hideMark/>
          </w:tcPr>
          <w:p w14:paraId="5DE0ADC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178</w:t>
            </w:r>
          </w:p>
        </w:tc>
        <w:tc>
          <w:tcPr>
            <w:tcW w:w="548" w:type="pct"/>
            <w:noWrap/>
            <w:vAlign w:val="center"/>
            <w:hideMark/>
          </w:tcPr>
          <w:p w14:paraId="0F785AD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44</w:t>
            </w:r>
          </w:p>
        </w:tc>
      </w:tr>
      <w:tr w:rsidR="00626A44" w:rsidRPr="00595D37" w14:paraId="532E8226"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EC7DEBE"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14B8E78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San Antonio Elementary</w:t>
            </w:r>
          </w:p>
        </w:tc>
        <w:tc>
          <w:tcPr>
            <w:tcW w:w="734" w:type="pct"/>
            <w:noWrap/>
            <w:vAlign w:val="center"/>
            <w:hideMark/>
          </w:tcPr>
          <w:p w14:paraId="149805D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w:t>
            </w:r>
          </w:p>
        </w:tc>
        <w:tc>
          <w:tcPr>
            <w:tcW w:w="780" w:type="pct"/>
            <w:noWrap/>
            <w:vAlign w:val="center"/>
            <w:hideMark/>
          </w:tcPr>
          <w:p w14:paraId="27248EA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344</w:t>
            </w:r>
          </w:p>
        </w:tc>
        <w:tc>
          <w:tcPr>
            <w:tcW w:w="458" w:type="pct"/>
            <w:noWrap/>
            <w:vAlign w:val="center"/>
            <w:hideMark/>
          </w:tcPr>
          <w:p w14:paraId="4081611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506" w:type="pct"/>
            <w:noWrap/>
            <w:vAlign w:val="center"/>
            <w:hideMark/>
          </w:tcPr>
          <w:p w14:paraId="3E760FE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142</w:t>
            </w:r>
          </w:p>
        </w:tc>
        <w:tc>
          <w:tcPr>
            <w:tcW w:w="548" w:type="pct"/>
            <w:noWrap/>
            <w:vAlign w:val="center"/>
            <w:hideMark/>
          </w:tcPr>
          <w:p w14:paraId="524C463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36</w:t>
            </w:r>
          </w:p>
        </w:tc>
      </w:tr>
      <w:tr w:rsidR="00626A44" w:rsidRPr="00595D37" w14:paraId="49702167"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A43C14C"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545B641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Sylvia Cassell Elementary</w:t>
            </w:r>
          </w:p>
        </w:tc>
        <w:tc>
          <w:tcPr>
            <w:tcW w:w="734" w:type="pct"/>
            <w:noWrap/>
            <w:vAlign w:val="center"/>
            <w:hideMark/>
          </w:tcPr>
          <w:p w14:paraId="511C8EC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22</w:t>
            </w:r>
          </w:p>
        </w:tc>
        <w:tc>
          <w:tcPr>
            <w:tcW w:w="780" w:type="pct"/>
            <w:noWrap/>
            <w:vAlign w:val="center"/>
            <w:hideMark/>
          </w:tcPr>
          <w:p w14:paraId="4F9DD41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389</w:t>
            </w:r>
          </w:p>
        </w:tc>
        <w:tc>
          <w:tcPr>
            <w:tcW w:w="458" w:type="pct"/>
            <w:noWrap/>
            <w:vAlign w:val="center"/>
            <w:hideMark/>
          </w:tcPr>
          <w:p w14:paraId="74DD420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w:t>
            </w:r>
          </w:p>
        </w:tc>
        <w:tc>
          <w:tcPr>
            <w:tcW w:w="506" w:type="pct"/>
            <w:noWrap/>
            <w:vAlign w:val="center"/>
            <w:hideMark/>
          </w:tcPr>
          <w:p w14:paraId="6739F22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233</w:t>
            </w:r>
          </w:p>
        </w:tc>
        <w:tc>
          <w:tcPr>
            <w:tcW w:w="548" w:type="pct"/>
            <w:noWrap/>
            <w:vAlign w:val="center"/>
            <w:hideMark/>
          </w:tcPr>
          <w:p w14:paraId="350CDC6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40</w:t>
            </w:r>
          </w:p>
        </w:tc>
      </w:tr>
      <w:tr w:rsidR="00626A44" w:rsidRPr="00595D37" w14:paraId="52C50EF1"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6DBE38EB"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Alum Rock Union Elementary</w:t>
            </w:r>
          </w:p>
        </w:tc>
        <w:tc>
          <w:tcPr>
            <w:tcW w:w="1059" w:type="pct"/>
            <w:vAlign w:val="center"/>
            <w:hideMark/>
          </w:tcPr>
          <w:p w14:paraId="359A7AA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Thomas P. Ryan Elementary</w:t>
            </w:r>
          </w:p>
        </w:tc>
        <w:tc>
          <w:tcPr>
            <w:tcW w:w="734" w:type="pct"/>
            <w:noWrap/>
            <w:vAlign w:val="center"/>
            <w:hideMark/>
          </w:tcPr>
          <w:p w14:paraId="0260D02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20</w:t>
            </w:r>
          </w:p>
        </w:tc>
        <w:tc>
          <w:tcPr>
            <w:tcW w:w="780" w:type="pct"/>
            <w:noWrap/>
            <w:vAlign w:val="center"/>
            <w:hideMark/>
          </w:tcPr>
          <w:p w14:paraId="571E66C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305</w:t>
            </w:r>
          </w:p>
        </w:tc>
        <w:tc>
          <w:tcPr>
            <w:tcW w:w="458" w:type="pct"/>
            <w:noWrap/>
            <w:vAlign w:val="center"/>
            <w:hideMark/>
          </w:tcPr>
          <w:p w14:paraId="445A78E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w:t>
            </w:r>
          </w:p>
        </w:tc>
        <w:tc>
          <w:tcPr>
            <w:tcW w:w="506" w:type="pct"/>
            <w:noWrap/>
            <w:vAlign w:val="center"/>
            <w:hideMark/>
          </w:tcPr>
          <w:p w14:paraId="5DDD09C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134</w:t>
            </w:r>
          </w:p>
        </w:tc>
        <w:tc>
          <w:tcPr>
            <w:tcW w:w="548" w:type="pct"/>
            <w:noWrap/>
            <w:vAlign w:val="center"/>
            <w:hideMark/>
          </w:tcPr>
          <w:p w14:paraId="03CC618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39</w:t>
            </w:r>
          </w:p>
        </w:tc>
      </w:tr>
      <w:tr w:rsidR="00626A44" w:rsidRPr="00595D37" w14:paraId="4A66FA3A"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6CDB0A2A"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lastRenderedPageBreak/>
              <w:t>Alum Rock Union Elementary</w:t>
            </w:r>
          </w:p>
        </w:tc>
        <w:tc>
          <w:tcPr>
            <w:tcW w:w="1059" w:type="pct"/>
            <w:vAlign w:val="center"/>
            <w:hideMark/>
          </w:tcPr>
          <w:p w14:paraId="2A21EC9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William Sheppard Middle</w:t>
            </w:r>
          </w:p>
        </w:tc>
        <w:tc>
          <w:tcPr>
            <w:tcW w:w="734" w:type="pct"/>
            <w:noWrap/>
            <w:vAlign w:val="center"/>
            <w:hideMark/>
          </w:tcPr>
          <w:p w14:paraId="727D1B2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29</w:t>
            </w:r>
          </w:p>
        </w:tc>
        <w:tc>
          <w:tcPr>
            <w:tcW w:w="780" w:type="pct"/>
            <w:noWrap/>
            <w:vAlign w:val="center"/>
            <w:hideMark/>
          </w:tcPr>
          <w:p w14:paraId="448805B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601</w:t>
            </w:r>
          </w:p>
        </w:tc>
        <w:tc>
          <w:tcPr>
            <w:tcW w:w="458" w:type="pct"/>
            <w:noWrap/>
            <w:vAlign w:val="center"/>
            <w:hideMark/>
          </w:tcPr>
          <w:p w14:paraId="314FB68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506" w:type="pct"/>
            <w:noWrap/>
            <w:vAlign w:val="center"/>
            <w:hideMark/>
          </w:tcPr>
          <w:p w14:paraId="5A199D8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131</w:t>
            </w:r>
          </w:p>
        </w:tc>
        <w:tc>
          <w:tcPr>
            <w:tcW w:w="548" w:type="pct"/>
            <w:noWrap/>
            <w:vAlign w:val="center"/>
            <w:hideMark/>
          </w:tcPr>
          <w:p w14:paraId="23BDFB8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78</w:t>
            </w:r>
          </w:p>
        </w:tc>
      </w:tr>
      <w:tr w:rsidR="00626A44" w:rsidRPr="00595D37" w14:paraId="55EB481A"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6B9A65E6"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Franklin-McKinley Elementary</w:t>
            </w:r>
          </w:p>
        </w:tc>
        <w:tc>
          <w:tcPr>
            <w:tcW w:w="1059" w:type="pct"/>
            <w:vAlign w:val="center"/>
            <w:hideMark/>
          </w:tcPr>
          <w:p w14:paraId="1D4418C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Captain Jason M. Dahl Elementary</w:t>
            </w:r>
          </w:p>
        </w:tc>
        <w:tc>
          <w:tcPr>
            <w:tcW w:w="734" w:type="pct"/>
            <w:noWrap/>
            <w:vAlign w:val="center"/>
            <w:hideMark/>
          </w:tcPr>
          <w:p w14:paraId="587827D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24</w:t>
            </w:r>
          </w:p>
        </w:tc>
        <w:tc>
          <w:tcPr>
            <w:tcW w:w="780" w:type="pct"/>
            <w:noWrap/>
            <w:vAlign w:val="center"/>
            <w:hideMark/>
          </w:tcPr>
          <w:p w14:paraId="149D6C3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549</w:t>
            </w:r>
          </w:p>
        </w:tc>
        <w:tc>
          <w:tcPr>
            <w:tcW w:w="458" w:type="pct"/>
            <w:noWrap/>
            <w:vAlign w:val="center"/>
            <w:hideMark/>
          </w:tcPr>
          <w:p w14:paraId="764DAFF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506" w:type="pct"/>
            <w:noWrap/>
            <w:vAlign w:val="center"/>
            <w:hideMark/>
          </w:tcPr>
          <w:p w14:paraId="1D6511E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302</w:t>
            </w:r>
          </w:p>
        </w:tc>
        <w:tc>
          <w:tcPr>
            <w:tcW w:w="548" w:type="pct"/>
            <w:noWrap/>
            <w:vAlign w:val="center"/>
            <w:hideMark/>
          </w:tcPr>
          <w:p w14:paraId="496C2C4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43</w:t>
            </w:r>
          </w:p>
        </w:tc>
      </w:tr>
      <w:tr w:rsidR="00626A44" w:rsidRPr="00595D37" w14:paraId="25379AF2" w14:textId="77777777" w:rsidTr="00D31172">
        <w:trPr>
          <w:trHeight w:val="9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E3A0302"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Franklin-McKinley Elementary</w:t>
            </w:r>
          </w:p>
        </w:tc>
        <w:tc>
          <w:tcPr>
            <w:tcW w:w="1059" w:type="pct"/>
            <w:vAlign w:val="center"/>
            <w:hideMark/>
          </w:tcPr>
          <w:p w14:paraId="52923D5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College Connection Academy</w:t>
            </w:r>
          </w:p>
        </w:tc>
        <w:tc>
          <w:tcPr>
            <w:tcW w:w="734" w:type="pct"/>
            <w:noWrap/>
            <w:vAlign w:val="center"/>
            <w:hideMark/>
          </w:tcPr>
          <w:p w14:paraId="4F4815B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11</w:t>
            </w:r>
          </w:p>
        </w:tc>
        <w:tc>
          <w:tcPr>
            <w:tcW w:w="780" w:type="pct"/>
            <w:noWrap/>
            <w:vAlign w:val="center"/>
            <w:hideMark/>
          </w:tcPr>
          <w:p w14:paraId="1B76B30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210</w:t>
            </w:r>
          </w:p>
        </w:tc>
        <w:tc>
          <w:tcPr>
            <w:tcW w:w="458" w:type="pct"/>
            <w:noWrap/>
            <w:vAlign w:val="center"/>
            <w:hideMark/>
          </w:tcPr>
          <w:p w14:paraId="33BFC6D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w:t>
            </w:r>
          </w:p>
        </w:tc>
        <w:tc>
          <w:tcPr>
            <w:tcW w:w="506" w:type="pct"/>
            <w:noWrap/>
            <w:vAlign w:val="center"/>
            <w:hideMark/>
          </w:tcPr>
          <w:p w14:paraId="5F3B62F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20</w:t>
            </w:r>
          </w:p>
        </w:tc>
        <w:tc>
          <w:tcPr>
            <w:tcW w:w="548" w:type="pct"/>
            <w:noWrap/>
            <w:vAlign w:val="center"/>
            <w:hideMark/>
          </w:tcPr>
          <w:p w14:paraId="0450A78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w:t>
            </w:r>
          </w:p>
        </w:tc>
      </w:tr>
      <w:tr w:rsidR="00626A44" w:rsidRPr="00595D37" w14:paraId="0F4D6E9A"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613FF288"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Franklin-McKinley Elementary</w:t>
            </w:r>
          </w:p>
        </w:tc>
        <w:tc>
          <w:tcPr>
            <w:tcW w:w="1059" w:type="pct"/>
            <w:vAlign w:val="center"/>
            <w:hideMark/>
          </w:tcPr>
          <w:p w14:paraId="6D48233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Franklin Elementary</w:t>
            </w:r>
          </w:p>
        </w:tc>
        <w:tc>
          <w:tcPr>
            <w:tcW w:w="734" w:type="pct"/>
            <w:noWrap/>
            <w:vAlign w:val="center"/>
            <w:hideMark/>
          </w:tcPr>
          <w:p w14:paraId="037C170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26</w:t>
            </w:r>
          </w:p>
        </w:tc>
        <w:tc>
          <w:tcPr>
            <w:tcW w:w="780" w:type="pct"/>
            <w:noWrap/>
            <w:vAlign w:val="center"/>
            <w:hideMark/>
          </w:tcPr>
          <w:p w14:paraId="4A8D235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665</w:t>
            </w:r>
          </w:p>
        </w:tc>
        <w:tc>
          <w:tcPr>
            <w:tcW w:w="458" w:type="pct"/>
            <w:noWrap/>
            <w:vAlign w:val="center"/>
            <w:hideMark/>
          </w:tcPr>
          <w:p w14:paraId="2392983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17</w:t>
            </w:r>
          </w:p>
        </w:tc>
        <w:tc>
          <w:tcPr>
            <w:tcW w:w="506" w:type="pct"/>
            <w:noWrap/>
            <w:vAlign w:val="center"/>
            <w:hideMark/>
          </w:tcPr>
          <w:p w14:paraId="49E6C30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335</w:t>
            </w:r>
          </w:p>
        </w:tc>
        <w:tc>
          <w:tcPr>
            <w:tcW w:w="548" w:type="pct"/>
            <w:noWrap/>
            <w:vAlign w:val="center"/>
            <w:hideMark/>
          </w:tcPr>
          <w:p w14:paraId="34D5F60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62</w:t>
            </w:r>
          </w:p>
        </w:tc>
      </w:tr>
      <w:tr w:rsidR="00626A44" w:rsidRPr="00595D37" w14:paraId="525D295C"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2898B28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Franklin-McKinley Elementary</w:t>
            </w:r>
          </w:p>
        </w:tc>
        <w:tc>
          <w:tcPr>
            <w:tcW w:w="1059" w:type="pct"/>
            <w:vAlign w:val="center"/>
            <w:hideMark/>
          </w:tcPr>
          <w:p w14:paraId="0506DCA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G. W. Hellyer Elementary</w:t>
            </w:r>
          </w:p>
        </w:tc>
        <w:tc>
          <w:tcPr>
            <w:tcW w:w="734" w:type="pct"/>
            <w:noWrap/>
            <w:vAlign w:val="center"/>
            <w:hideMark/>
          </w:tcPr>
          <w:p w14:paraId="734C088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16</w:t>
            </w:r>
          </w:p>
        </w:tc>
        <w:tc>
          <w:tcPr>
            <w:tcW w:w="780" w:type="pct"/>
            <w:noWrap/>
            <w:vAlign w:val="center"/>
            <w:hideMark/>
          </w:tcPr>
          <w:p w14:paraId="46EFE14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402</w:t>
            </w:r>
          </w:p>
        </w:tc>
        <w:tc>
          <w:tcPr>
            <w:tcW w:w="458" w:type="pct"/>
            <w:noWrap/>
            <w:vAlign w:val="center"/>
            <w:hideMark/>
          </w:tcPr>
          <w:p w14:paraId="7BA36B7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w:t>
            </w:r>
          </w:p>
        </w:tc>
        <w:tc>
          <w:tcPr>
            <w:tcW w:w="506" w:type="pct"/>
            <w:noWrap/>
            <w:vAlign w:val="center"/>
            <w:hideMark/>
          </w:tcPr>
          <w:p w14:paraId="475D9C6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155</w:t>
            </w:r>
          </w:p>
        </w:tc>
        <w:tc>
          <w:tcPr>
            <w:tcW w:w="548" w:type="pct"/>
            <w:noWrap/>
            <w:vAlign w:val="center"/>
            <w:hideMark/>
          </w:tcPr>
          <w:p w14:paraId="6D46DB6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32</w:t>
            </w:r>
          </w:p>
        </w:tc>
      </w:tr>
      <w:tr w:rsidR="00626A44" w:rsidRPr="00595D37" w14:paraId="2A922B95" w14:textId="77777777" w:rsidTr="00D31172">
        <w:trPr>
          <w:trHeight w:val="9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5B0887F6"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Franklin-McKinley Elementary</w:t>
            </w:r>
          </w:p>
        </w:tc>
        <w:tc>
          <w:tcPr>
            <w:tcW w:w="1059" w:type="pct"/>
            <w:vAlign w:val="center"/>
            <w:hideMark/>
          </w:tcPr>
          <w:p w14:paraId="7154C48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Jeanne R. Meadows Elementary</w:t>
            </w:r>
          </w:p>
        </w:tc>
        <w:tc>
          <w:tcPr>
            <w:tcW w:w="734" w:type="pct"/>
            <w:noWrap/>
            <w:vAlign w:val="center"/>
            <w:hideMark/>
          </w:tcPr>
          <w:p w14:paraId="5C0458E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22</w:t>
            </w:r>
          </w:p>
        </w:tc>
        <w:tc>
          <w:tcPr>
            <w:tcW w:w="780" w:type="pct"/>
            <w:noWrap/>
            <w:vAlign w:val="center"/>
            <w:hideMark/>
          </w:tcPr>
          <w:p w14:paraId="2DD3FC2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501</w:t>
            </w:r>
          </w:p>
        </w:tc>
        <w:tc>
          <w:tcPr>
            <w:tcW w:w="458" w:type="pct"/>
            <w:noWrap/>
            <w:vAlign w:val="center"/>
            <w:hideMark/>
          </w:tcPr>
          <w:p w14:paraId="387E04C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506" w:type="pct"/>
            <w:noWrap/>
            <w:vAlign w:val="center"/>
            <w:hideMark/>
          </w:tcPr>
          <w:p w14:paraId="558AAD4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214</w:t>
            </w:r>
          </w:p>
        </w:tc>
        <w:tc>
          <w:tcPr>
            <w:tcW w:w="548" w:type="pct"/>
            <w:noWrap/>
            <w:vAlign w:val="center"/>
            <w:hideMark/>
          </w:tcPr>
          <w:p w14:paraId="4427166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43</w:t>
            </w:r>
          </w:p>
        </w:tc>
      </w:tr>
      <w:tr w:rsidR="00626A44" w:rsidRPr="00595D37" w14:paraId="6EDDC65A" w14:textId="77777777" w:rsidTr="00D31172">
        <w:trPr>
          <w:trHeight w:val="9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449EAA47"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Franklin-McKinley Elementary</w:t>
            </w:r>
          </w:p>
        </w:tc>
        <w:tc>
          <w:tcPr>
            <w:tcW w:w="1059" w:type="pct"/>
            <w:vAlign w:val="center"/>
            <w:hideMark/>
          </w:tcPr>
          <w:p w14:paraId="15F733A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proofErr w:type="spellStart"/>
            <w:r w:rsidRPr="00595D37">
              <w:rPr>
                <w:rFonts w:cs="Arial"/>
                <w:snapToGrid/>
                <w:color w:val="000000"/>
                <w:szCs w:val="24"/>
              </w:rPr>
              <w:t>Lairon</w:t>
            </w:r>
            <w:proofErr w:type="spellEnd"/>
            <w:r w:rsidRPr="00595D37">
              <w:rPr>
                <w:rFonts w:cs="Arial"/>
                <w:snapToGrid/>
                <w:color w:val="000000"/>
                <w:szCs w:val="24"/>
              </w:rPr>
              <w:t xml:space="preserve"> College Preparatory Academy</w:t>
            </w:r>
          </w:p>
        </w:tc>
        <w:tc>
          <w:tcPr>
            <w:tcW w:w="734" w:type="pct"/>
            <w:noWrap/>
            <w:vAlign w:val="center"/>
            <w:hideMark/>
          </w:tcPr>
          <w:p w14:paraId="4785103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16</w:t>
            </w:r>
          </w:p>
        </w:tc>
        <w:tc>
          <w:tcPr>
            <w:tcW w:w="780" w:type="pct"/>
            <w:noWrap/>
            <w:vAlign w:val="center"/>
            <w:hideMark/>
          </w:tcPr>
          <w:p w14:paraId="56CBEE9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383</w:t>
            </w:r>
          </w:p>
        </w:tc>
        <w:tc>
          <w:tcPr>
            <w:tcW w:w="458" w:type="pct"/>
            <w:noWrap/>
            <w:vAlign w:val="center"/>
            <w:hideMark/>
          </w:tcPr>
          <w:p w14:paraId="688BE95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12</w:t>
            </w:r>
          </w:p>
        </w:tc>
        <w:tc>
          <w:tcPr>
            <w:tcW w:w="506" w:type="pct"/>
            <w:noWrap/>
            <w:vAlign w:val="center"/>
            <w:hideMark/>
          </w:tcPr>
          <w:p w14:paraId="5A82D4E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189</w:t>
            </w:r>
          </w:p>
        </w:tc>
        <w:tc>
          <w:tcPr>
            <w:tcW w:w="548" w:type="pct"/>
            <w:noWrap/>
            <w:vAlign w:val="center"/>
            <w:hideMark/>
          </w:tcPr>
          <w:p w14:paraId="682F04F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22</w:t>
            </w:r>
          </w:p>
        </w:tc>
      </w:tr>
      <w:tr w:rsidR="00626A44" w:rsidRPr="00595D37" w14:paraId="74356CE0" w14:textId="77777777" w:rsidTr="00D31172">
        <w:trPr>
          <w:trHeight w:val="12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4D0F4FF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Franklin-McKinley Elementary</w:t>
            </w:r>
          </w:p>
        </w:tc>
        <w:tc>
          <w:tcPr>
            <w:tcW w:w="1059" w:type="pct"/>
            <w:vAlign w:val="center"/>
            <w:hideMark/>
          </w:tcPr>
          <w:p w14:paraId="5F7CD9A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 xml:space="preserve">Los </w:t>
            </w:r>
            <w:proofErr w:type="spellStart"/>
            <w:r w:rsidRPr="00595D37">
              <w:rPr>
                <w:rFonts w:cs="Arial"/>
                <w:snapToGrid/>
                <w:color w:val="000000"/>
                <w:szCs w:val="24"/>
              </w:rPr>
              <w:t>Arboles</w:t>
            </w:r>
            <w:proofErr w:type="spellEnd"/>
            <w:r w:rsidRPr="00595D37">
              <w:rPr>
                <w:rFonts w:cs="Arial"/>
                <w:snapToGrid/>
                <w:color w:val="000000"/>
                <w:szCs w:val="24"/>
              </w:rPr>
              <w:t xml:space="preserve"> Literacy and Technology Academy</w:t>
            </w:r>
          </w:p>
        </w:tc>
        <w:tc>
          <w:tcPr>
            <w:tcW w:w="734" w:type="pct"/>
            <w:noWrap/>
            <w:vAlign w:val="center"/>
            <w:hideMark/>
          </w:tcPr>
          <w:p w14:paraId="53B6CAB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w:t>
            </w:r>
          </w:p>
        </w:tc>
        <w:tc>
          <w:tcPr>
            <w:tcW w:w="780" w:type="pct"/>
            <w:noWrap/>
            <w:vAlign w:val="center"/>
            <w:hideMark/>
          </w:tcPr>
          <w:p w14:paraId="268B894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353</w:t>
            </w:r>
          </w:p>
        </w:tc>
        <w:tc>
          <w:tcPr>
            <w:tcW w:w="458" w:type="pct"/>
            <w:noWrap/>
            <w:vAlign w:val="center"/>
            <w:hideMark/>
          </w:tcPr>
          <w:p w14:paraId="521F190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w:t>
            </w:r>
          </w:p>
        </w:tc>
        <w:tc>
          <w:tcPr>
            <w:tcW w:w="506" w:type="pct"/>
            <w:noWrap/>
            <w:vAlign w:val="center"/>
            <w:hideMark/>
          </w:tcPr>
          <w:p w14:paraId="0E0F008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236</w:t>
            </w:r>
          </w:p>
        </w:tc>
        <w:tc>
          <w:tcPr>
            <w:tcW w:w="548" w:type="pct"/>
            <w:noWrap/>
            <w:vAlign w:val="center"/>
            <w:hideMark/>
          </w:tcPr>
          <w:p w14:paraId="7093E14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48</w:t>
            </w:r>
          </w:p>
        </w:tc>
      </w:tr>
      <w:tr w:rsidR="00626A44" w:rsidRPr="00595D37" w14:paraId="292E8AA4"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409ECDBA"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Franklin-McKinley Elementary</w:t>
            </w:r>
          </w:p>
        </w:tc>
        <w:tc>
          <w:tcPr>
            <w:tcW w:w="1059" w:type="pct"/>
            <w:vAlign w:val="center"/>
            <w:hideMark/>
          </w:tcPr>
          <w:p w14:paraId="2747384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McKinley Elementary</w:t>
            </w:r>
          </w:p>
        </w:tc>
        <w:tc>
          <w:tcPr>
            <w:tcW w:w="734" w:type="pct"/>
            <w:noWrap/>
            <w:vAlign w:val="center"/>
            <w:hideMark/>
          </w:tcPr>
          <w:p w14:paraId="7245EDB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19</w:t>
            </w:r>
          </w:p>
        </w:tc>
        <w:tc>
          <w:tcPr>
            <w:tcW w:w="780" w:type="pct"/>
            <w:noWrap/>
            <w:vAlign w:val="center"/>
            <w:hideMark/>
          </w:tcPr>
          <w:p w14:paraId="7FBDE9C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286</w:t>
            </w:r>
          </w:p>
        </w:tc>
        <w:tc>
          <w:tcPr>
            <w:tcW w:w="458" w:type="pct"/>
            <w:noWrap/>
            <w:vAlign w:val="center"/>
            <w:hideMark/>
          </w:tcPr>
          <w:p w14:paraId="33BEAF8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0</w:t>
            </w:r>
          </w:p>
        </w:tc>
        <w:tc>
          <w:tcPr>
            <w:tcW w:w="506" w:type="pct"/>
            <w:noWrap/>
            <w:vAlign w:val="center"/>
            <w:hideMark/>
          </w:tcPr>
          <w:p w14:paraId="3561342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204</w:t>
            </w:r>
          </w:p>
        </w:tc>
        <w:tc>
          <w:tcPr>
            <w:tcW w:w="548" w:type="pct"/>
            <w:noWrap/>
            <w:vAlign w:val="center"/>
            <w:hideMark/>
          </w:tcPr>
          <w:p w14:paraId="6D1A68A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26</w:t>
            </w:r>
          </w:p>
        </w:tc>
      </w:tr>
      <w:tr w:rsidR="00626A44" w:rsidRPr="00595D37" w14:paraId="2F5E34F4"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9898EAA"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Franklin-McKinley Elementary</w:t>
            </w:r>
          </w:p>
        </w:tc>
        <w:tc>
          <w:tcPr>
            <w:tcW w:w="1059" w:type="pct"/>
            <w:vAlign w:val="center"/>
            <w:hideMark/>
          </w:tcPr>
          <w:p w14:paraId="2D330ED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proofErr w:type="spellStart"/>
            <w:r w:rsidRPr="00595D37">
              <w:rPr>
                <w:rFonts w:cs="Arial"/>
                <w:snapToGrid/>
                <w:color w:val="000000"/>
                <w:szCs w:val="24"/>
              </w:rPr>
              <w:t>Ramblewood</w:t>
            </w:r>
            <w:proofErr w:type="spellEnd"/>
            <w:r w:rsidRPr="00595D37">
              <w:rPr>
                <w:rFonts w:cs="Arial"/>
                <w:snapToGrid/>
                <w:color w:val="000000"/>
                <w:szCs w:val="24"/>
              </w:rPr>
              <w:t xml:space="preserve"> Elementary</w:t>
            </w:r>
          </w:p>
        </w:tc>
        <w:tc>
          <w:tcPr>
            <w:tcW w:w="734" w:type="pct"/>
            <w:noWrap/>
            <w:vAlign w:val="center"/>
            <w:hideMark/>
          </w:tcPr>
          <w:p w14:paraId="1ACD03F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16</w:t>
            </w:r>
          </w:p>
        </w:tc>
        <w:tc>
          <w:tcPr>
            <w:tcW w:w="780" w:type="pct"/>
            <w:noWrap/>
            <w:vAlign w:val="center"/>
            <w:hideMark/>
          </w:tcPr>
          <w:p w14:paraId="461E7EA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351</w:t>
            </w:r>
          </w:p>
        </w:tc>
        <w:tc>
          <w:tcPr>
            <w:tcW w:w="458" w:type="pct"/>
            <w:noWrap/>
            <w:vAlign w:val="center"/>
            <w:hideMark/>
          </w:tcPr>
          <w:p w14:paraId="1AEE085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w:t>
            </w:r>
          </w:p>
        </w:tc>
        <w:tc>
          <w:tcPr>
            <w:tcW w:w="506" w:type="pct"/>
            <w:noWrap/>
            <w:vAlign w:val="center"/>
            <w:hideMark/>
          </w:tcPr>
          <w:p w14:paraId="38C3B20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112</w:t>
            </w:r>
          </w:p>
        </w:tc>
        <w:tc>
          <w:tcPr>
            <w:tcW w:w="548" w:type="pct"/>
            <w:noWrap/>
            <w:vAlign w:val="center"/>
            <w:hideMark/>
          </w:tcPr>
          <w:p w14:paraId="4690782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38</w:t>
            </w:r>
          </w:p>
        </w:tc>
      </w:tr>
      <w:tr w:rsidR="00626A44" w:rsidRPr="00595D37" w14:paraId="0182C27F" w14:textId="77777777" w:rsidTr="00D31172">
        <w:trPr>
          <w:trHeight w:val="9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4C2244BD"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Franklin-McKinley Elementary</w:t>
            </w:r>
          </w:p>
        </w:tc>
        <w:tc>
          <w:tcPr>
            <w:tcW w:w="1059" w:type="pct"/>
            <w:vAlign w:val="center"/>
            <w:hideMark/>
          </w:tcPr>
          <w:p w14:paraId="59B3E72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Robert F. Kennedy Elementary</w:t>
            </w:r>
          </w:p>
        </w:tc>
        <w:tc>
          <w:tcPr>
            <w:tcW w:w="734" w:type="pct"/>
            <w:noWrap/>
            <w:vAlign w:val="center"/>
            <w:hideMark/>
          </w:tcPr>
          <w:p w14:paraId="65B834A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20</w:t>
            </w:r>
          </w:p>
        </w:tc>
        <w:tc>
          <w:tcPr>
            <w:tcW w:w="780" w:type="pct"/>
            <w:noWrap/>
            <w:vAlign w:val="center"/>
            <w:hideMark/>
          </w:tcPr>
          <w:p w14:paraId="66C921A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390</w:t>
            </w:r>
          </w:p>
        </w:tc>
        <w:tc>
          <w:tcPr>
            <w:tcW w:w="458" w:type="pct"/>
            <w:noWrap/>
            <w:vAlign w:val="center"/>
            <w:hideMark/>
          </w:tcPr>
          <w:p w14:paraId="4D1C802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w:t>
            </w:r>
          </w:p>
        </w:tc>
        <w:tc>
          <w:tcPr>
            <w:tcW w:w="506" w:type="pct"/>
            <w:noWrap/>
            <w:vAlign w:val="center"/>
            <w:hideMark/>
          </w:tcPr>
          <w:p w14:paraId="596CF70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217</w:t>
            </w:r>
          </w:p>
        </w:tc>
        <w:tc>
          <w:tcPr>
            <w:tcW w:w="548" w:type="pct"/>
            <w:noWrap/>
            <w:vAlign w:val="center"/>
            <w:hideMark/>
          </w:tcPr>
          <w:p w14:paraId="444E0E2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28</w:t>
            </w:r>
          </w:p>
        </w:tc>
      </w:tr>
      <w:tr w:rsidR="00626A44" w:rsidRPr="00595D37" w14:paraId="74E509DC"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106C3611"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Franklin-McKinley Elementary</w:t>
            </w:r>
          </w:p>
        </w:tc>
        <w:tc>
          <w:tcPr>
            <w:tcW w:w="1059" w:type="pct"/>
            <w:vAlign w:val="center"/>
            <w:hideMark/>
          </w:tcPr>
          <w:p w14:paraId="2262D8E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Santee Elementary</w:t>
            </w:r>
          </w:p>
        </w:tc>
        <w:tc>
          <w:tcPr>
            <w:tcW w:w="734" w:type="pct"/>
            <w:noWrap/>
            <w:vAlign w:val="center"/>
            <w:hideMark/>
          </w:tcPr>
          <w:p w14:paraId="452914F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18</w:t>
            </w:r>
          </w:p>
        </w:tc>
        <w:tc>
          <w:tcPr>
            <w:tcW w:w="780" w:type="pct"/>
            <w:noWrap/>
            <w:vAlign w:val="center"/>
            <w:hideMark/>
          </w:tcPr>
          <w:p w14:paraId="54170D0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423</w:t>
            </w:r>
          </w:p>
        </w:tc>
        <w:tc>
          <w:tcPr>
            <w:tcW w:w="458" w:type="pct"/>
            <w:noWrap/>
            <w:vAlign w:val="center"/>
            <w:hideMark/>
          </w:tcPr>
          <w:p w14:paraId="135BC94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w:t>
            </w:r>
          </w:p>
        </w:tc>
        <w:tc>
          <w:tcPr>
            <w:tcW w:w="506" w:type="pct"/>
            <w:noWrap/>
            <w:vAlign w:val="center"/>
            <w:hideMark/>
          </w:tcPr>
          <w:p w14:paraId="43451BF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306</w:t>
            </w:r>
          </w:p>
        </w:tc>
        <w:tc>
          <w:tcPr>
            <w:tcW w:w="548" w:type="pct"/>
            <w:noWrap/>
            <w:vAlign w:val="center"/>
            <w:hideMark/>
          </w:tcPr>
          <w:p w14:paraId="4D4F43B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33</w:t>
            </w:r>
          </w:p>
        </w:tc>
      </w:tr>
      <w:tr w:rsidR="00626A44" w:rsidRPr="00595D37" w14:paraId="7AB4D32C" w14:textId="77777777" w:rsidTr="00D31172">
        <w:trPr>
          <w:trHeight w:val="9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11B822FA"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Franklin-McKinley Elementary</w:t>
            </w:r>
          </w:p>
        </w:tc>
        <w:tc>
          <w:tcPr>
            <w:tcW w:w="1059" w:type="pct"/>
            <w:vAlign w:val="center"/>
            <w:hideMark/>
          </w:tcPr>
          <w:p w14:paraId="6022939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Shirakawa (George, Sr.) Elementary</w:t>
            </w:r>
          </w:p>
        </w:tc>
        <w:tc>
          <w:tcPr>
            <w:tcW w:w="734" w:type="pct"/>
            <w:noWrap/>
            <w:vAlign w:val="center"/>
            <w:hideMark/>
          </w:tcPr>
          <w:p w14:paraId="29848EE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38</w:t>
            </w:r>
          </w:p>
        </w:tc>
        <w:tc>
          <w:tcPr>
            <w:tcW w:w="780" w:type="pct"/>
            <w:noWrap/>
            <w:vAlign w:val="center"/>
            <w:hideMark/>
          </w:tcPr>
          <w:p w14:paraId="5D6AEA3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759</w:t>
            </w:r>
          </w:p>
        </w:tc>
        <w:tc>
          <w:tcPr>
            <w:tcW w:w="458" w:type="pct"/>
            <w:noWrap/>
            <w:vAlign w:val="center"/>
            <w:hideMark/>
          </w:tcPr>
          <w:p w14:paraId="69A91A7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13</w:t>
            </w:r>
          </w:p>
        </w:tc>
        <w:tc>
          <w:tcPr>
            <w:tcW w:w="506" w:type="pct"/>
            <w:noWrap/>
            <w:vAlign w:val="center"/>
            <w:hideMark/>
          </w:tcPr>
          <w:p w14:paraId="1768840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282</w:t>
            </w:r>
          </w:p>
        </w:tc>
        <w:tc>
          <w:tcPr>
            <w:tcW w:w="548" w:type="pct"/>
            <w:noWrap/>
            <w:vAlign w:val="center"/>
            <w:hideMark/>
          </w:tcPr>
          <w:p w14:paraId="1F9D904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68</w:t>
            </w:r>
          </w:p>
        </w:tc>
      </w:tr>
      <w:tr w:rsidR="00626A44" w:rsidRPr="00595D37" w14:paraId="4D6D3459"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061647F5"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lastRenderedPageBreak/>
              <w:t>Franklin-McKinley Elementary</w:t>
            </w:r>
          </w:p>
        </w:tc>
        <w:tc>
          <w:tcPr>
            <w:tcW w:w="1059" w:type="pct"/>
            <w:vAlign w:val="center"/>
            <w:hideMark/>
          </w:tcPr>
          <w:p w14:paraId="1FD336F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Stonegate Elementary</w:t>
            </w:r>
          </w:p>
        </w:tc>
        <w:tc>
          <w:tcPr>
            <w:tcW w:w="734" w:type="pct"/>
            <w:noWrap/>
            <w:vAlign w:val="center"/>
            <w:hideMark/>
          </w:tcPr>
          <w:p w14:paraId="04F0FEC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28</w:t>
            </w:r>
          </w:p>
        </w:tc>
        <w:tc>
          <w:tcPr>
            <w:tcW w:w="780" w:type="pct"/>
            <w:noWrap/>
            <w:vAlign w:val="center"/>
            <w:hideMark/>
          </w:tcPr>
          <w:p w14:paraId="2C6A9F4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681</w:t>
            </w:r>
          </w:p>
        </w:tc>
        <w:tc>
          <w:tcPr>
            <w:tcW w:w="458" w:type="pct"/>
            <w:noWrap/>
            <w:vAlign w:val="center"/>
            <w:hideMark/>
          </w:tcPr>
          <w:p w14:paraId="116CA31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15</w:t>
            </w:r>
          </w:p>
        </w:tc>
        <w:tc>
          <w:tcPr>
            <w:tcW w:w="506" w:type="pct"/>
            <w:noWrap/>
            <w:vAlign w:val="center"/>
            <w:hideMark/>
          </w:tcPr>
          <w:p w14:paraId="0FB8488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270</w:t>
            </w:r>
          </w:p>
        </w:tc>
        <w:tc>
          <w:tcPr>
            <w:tcW w:w="548" w:type="pct"/>
            <w:noWrap/>
            <w:vAlign w:val="center"/>
            <w:hideMark/>
          </w:tcPr>
          <w:p w14:paraId="2BC2060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41</w:t>
            </w:r>
          </w:p>
        </w:tc>
      </w:tr>
      <w:tr w:rsidR="00626A44" w:rsidRPr="00595D37" w14:paraId="30EC9175"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17E07F4"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Franklin-McKinley Elementary</w:t>
            </w:r>
          </w:p>
        </w:tc>
        <w:tc>
          <w:tcPr>
            <w:tcW w:w="1059" w:type="pct"/>
            <w:vAlign w:val="center"/>
            <w:hideMark/>
          </w:tcPr>
          <w:p w14:paraId="0B0422B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proofErr w:type="spellStart"/>
            <w:r w:rsidRPr="00595D37">
              <w:rPr>
                <w:rFonts w:cs="Arial"/>
                <w:snapToGrid/>
                <w:color w:val="000000"/>
                <w:szCs w:val="24"/>
              </w:rPr>
              <w:t>Sylvandale</w:t>
            </w:r>
            <w:proofErr w:type="spellEnd"/>
            <w:r w:rsidRPr="00595D37">
              <w:rPr>
                <w:rFonts w:cs="Arial"/>
                <w:snapToGrid/>
                <w:color w:val="000000"/>
                <w:szCs w:val="24"/>
              </w:rPr>
              <w:t xml:space="preserve"> Middle</w:t>
            </w:r>
          </w:p>
        </w:tc>
        <w:tc>
          <w:tcPr>
            <w:tcW w:w="734" w:type="pct"/>
            <w:noWrap/>
            <w:vAlign w:val="center"/>
            <w:hideMark/>
          </w:tcPr>
          <w:p w14:paraId="38B5735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28</w:t>
            </w:r>
          </w:p>
        </w:tc>
        <w:tc>
          <w:tcPr>
            <w:tcW w:w="780" w:type="pct"/>
            <w:noWrap/>
            <w:vAlign w:val="center"/>
            <w:hideMark/>
          </w:tcPr>
          <w:p w14:paraId="2415CF4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574</w:t>
            </w:r>
          </w:p>
        </w:tc>
        <w:tc>
          <w:tcPr>
            <w:tcW w:w="458" w:type="pct"/>
            <w:noWrap/>
            <w:vAlign w:val="center"/>
            <w:hideMark/>
          </w:tcPr>
          <w:p w14:paraId="73BDC35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w:t>
            </w:r>
          </w:p>
        </w:tc>
        <w:tc>
          <w:tcPr>
            <w:tcW w:w="506" w:type="pct"/>
            <w:noWrap/>
            <w:vAlign w:val="center"/>
            <w:hideMark/>
          </w:tcPr>
          <w:p w14:paraId="51FCA83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166</w:t>
            </w:r>
          </w:p>
        </w:tc>
        <w:tc>
          <w:tcPr>
            <w:tcW w:w="548" w:type="pct"/>
            <w:noWrap/>
            <w:vAlign w:val="center"/>
            <w:hideMark/>
          </w:tcPr>
          <w:p w14:paraId="64CD3EB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30</w:t>
            </w:r>
          </w:p>
        </w:tc>
      </w:tr>
      <w:tr w:rsidR="00626A44" w:rsidRPr="00595D37" w14:paraId="6E4193F8"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E950333"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Franklin-McKinley Elementary</w:t>
            </w:r>
          </w:p>
        </w:tc>
        <w:tc>
          <w:tcPr>
            <w:tcW w:w="1059" w:type="pct"/>
            <w:vAlign w:val="center"/>
            <w:hideMark/>
          </w:tcPr>
          <w:p w14:paraId="35A8C99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Windmill Springs Elementary</w:t>
            </w:r>
          </w:p>
        </w:tc>
        <w:tc>
          <w:tcPr>
            <w:tcW w:w="734" w:type="pct"/>
            <w:noWrap/>
            <w:vAlign w:val="center"/>
            <w:hideMark/>
          </w:tcPr>
          <w:p w14:paraId="274A8EA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20</w:t>
            </w:r>
          </w:p>
        </w:tc>
        <w:tc>
          <w:tcPr>
            <w:tcW w:w="780" w:type="pct"/>
            <w:noWrap/>
            <w:vAlign w:val="center"/>
            <w:hideMark/>
          </w:tcPr>
          <w:p w14:paraId="7250877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440</w:t>
            </w:r>
          </w:p>
        </w:tc>
        <w:tc>
          <w:tcPr>
            <w:tcW w:w="458" w:type="pct"/>
            <w:noWrap/>
            <w:vAlign w:val="center"/>
            <w:hideMark/>
          </w:tcPr>
          <w:p w14:paraId="1669F3C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w:t>
            </w:r>
          </w:p>
        </w:tc>
        <w:tc>
          <w:tcPr>
            <w:tcW w:w="506" w:type="pct"/>
            <w:noWrap/>
            <w:vAlign w:val="center"/>
            <w:hideMark/>
          </w:tcPr>
          <w:p w14:paraId="79B972B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150</w:t>
            </w:r>
          </w:p>
        </w:tc>
        <w:tc>
          <w:tcPr>
            <w:tcW w:w="548" w:type="pct"/>
            <w:noWrap/>
            <w:vAlign w:val="center"/>
            <w:hideMark/>
          </w:tcPr>
          <w:p w14:paraId="5A724EB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45</w:t>
            </w:r>
          </w:p>
        </w:tc>
      </w:tr>
      <w:tr w:rsidR="00626A44" w:rsidRPr="00595D37" w14:paraId="7640DDB6" w14:textId="77777777" w:rsidTr="00D31172">
        <w:trPr>
          <w:trHeight w:val="9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64D68FB8"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Hollister School</w:t>
            </w:r>
          </w:p>
        </w:tc>
        <w:tc>
          <w:tcPr>
            <w:tcW w:w="1059" w:type="pct"/>
            <w:vAlign w:val="center"/>
            <w:hideMark/>
          </w:tcPr>
          <w:p w14:paraId="1654852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Accelerated Achievement Academy</w:t>
            </w:r>
          </w:p>
        </w:tc>
        <w:tc>
          <w:tcPr>
            <w:tcW w:w="734" w:type="pct"/>
            <w:noWrap/>
            <w:vAlign w:val="center"/>
            <w:hideMark/>
          </w:tcPr>
          <w:p w14:paraId="4384CD9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w:t>
            </w:r>
          </w:p>
        </w:tc>
        <w:tc>
          <w:tcPr>
            <w:tcW w:w="780" w:type="pct"/>
            <w:noWrap/>
            <w:vAlign w:val="center"/>
            <w:hideMark/>
          </w:tcPr>
          <w:p w14:paraId="58CFB19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173</w:t>
            </w:r>
          </w:p>
        </w:tc>
        <w:tc>
          <w:tcPr>
            <w:tcW w:w="458" w:type="pct"/>
            <w:noWrap/>
            <w:vAlign w:val="center"/>
            <w:hideMark/>
          </w:tcPr>
          <w:p w14:paraId="32DD776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0</w:t>
            </w:r>
          </w:p>
        </w:tc>
        <w:tc>
          <w:tcPr>
            <w:tcW w:w="506" w:type="pct"/>
            <w:noWrap/>
            <w:vAlign w:val="center"/>
            <w:hideMark/>
          </w:tcPr>
          <w:p w14:paraId="753A7A1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w:t>
            </w:r>
          </w:p>
        </w:tc>
        <w:tc>
          <w:tcPr>
            <w:tcW w:w="548" w:type="pct"/>
            <w:noWrap/>
            <w:vAlign w:val="center"/>
            <w:hideMark/>
          </w:tcPr>
          <w:p w14:paraId="5F69BB3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w:t>
            </w:r>
          </w:p>
        </w:tc>
      </w:tr>
      <w:tr w:rsidR="00626A44" w:rsidRPr="00595D37" w14:paraId="05FD12DA"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186850E"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Hollister School</w:t>
            </w:r>
          </w:p>
        </w:tc>
        <w:tc>
          <w:tcPr>
            <w:tcW w:w="1059" w:type="pct"/>
            <w:vAlign w:val="center"/>
            <w:hideMark/>
          </w:tcPr>
          <w:p w14:paraId="10AB405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Calaveras Elementary</w:t>
            </w:r>
          </w:p>
        </w:tc>
        <w:tc>
          <w:tcPr>
            <w:tcW w:w="734" w:type="pct"/>
            <w:noWrap/>
            <w:vAlign w:val="center"/>
            <w:hideMark/>
          </w:tcPr>
          <w:p w14:paraId="14CFB2F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25</w:t>
            </w:r>
          </w:p>
        </w:tc>
        <w:tc>
          <w:tcPr>
            <w:tcW w:w="780" w:type="pct"/>
            <w:noWrap/>
            <w:vAlign w:val="center"/>
            <w:hideMark/>
          </w:tcPr>
          <w:p w14:paraId="7F12003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493</w:t>
            </w:r>
          </w:p>
        </w:tc>
        <w:tc>
          <w:tcPr>
            <w:tcW w:w="458" w:type="pct"/>
            <w:noWrap/>
            <w:vAlign w:val="center"/>
            <w:hideMark/>
          </w:tcPr>
          <w:p w14:paraId="709EAD7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w:t>
            </w:r>
          </w:p>
        </w:tc>
        <w:tc>
          <w:tcPr>
            <w:tcW w:w="506" w:type="pct"/>
            <w:noWrap/>
            <w:vAlign w:val="center"/>
            <w:hideMark/>
          </w:tcPr>
          <w:p w14:paraId="1272BC7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264</w:t>
            </w:r>
          </w:p>
        </w:tc>
        <w:tc>
          <w:tcPr>
            <w:tcW w:w="548" w:type="pct"/>
            <w:noWrap/>
            <w:vAlign w:val="center"/>
            <w:hideMark/>
          </w:tcPr>
          <w:p w14:paraId="56B557F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64</w:t>
            </w:r>
          </w:p>
        </w:tc>
      </w:tr>
      <w:tr w:rsidR="00626A44" w:rsidRPr="00595D37" w14:paraId="385B1445"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58C8E06E"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Hollister School</w:t>
            </w:r>
          </w:p>
        </w:tc>
        <w:tc>
          <w:tcPr>
            <w:tcW w:w="1059" w:type="pct"/>
            <w:vAlign w:val="center"/>
            <w:hideMark/>
          </w:tcPr>
          <w:p w14:paraId="2D56AE6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Cerra Vista Elementary</w:t>
            </w:r>
          </w:p>
        </w:tc>
        <w:tc>
          <w:tcPr>
            <w:tcW w:w="734" w:type="pct"/>
            <w:noWrap/>
            <w:vAlign w:val="center"/>
            <w:hideMark/>
          </w:tcPr>
          <w:p w14:paraId="716CB7F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30</w:t>
            </w:r>
          </w:p>
        </w:tc>
        <w:tc>
          <w:tcPr>
            <w:tcW w:w="780" w:type="pct"/>
            <w:noWrap/>
            <w:vAlign w:val="center"/>
            <w:hideMark/>
          </w:tcPr>
          <w:p w14:paraId="72D9B0A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631</w:t>
            </w:r>
          </w:p>
        </w:tc>
        <w:tc>
          <w:tcPr>
            <w:tcW w:w="458" w:type="pct"/>
            <w:noWrap/>
            <w:vAlign w:val="center"/>
            <w:hideMark/>
          </w:tcPr>
          <w:p w14:paraId="245AECA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w:t>
            </w:r>
          </w:p>
        </w:tc>
        <w:tc>
          <w:tcPr>
            <w:tcW w:w="506" w:type="pct"/>
            <w:noWrap/>
            <w:vAlign w:val="center"/>
            <w:hideMark/>
          </w:tcPr>
          <w:p w14:paraId="4F36AC5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93</w:t>
            </w:r>
          </w:p>
        </w:tc>
        <w:tc>
          <w:tcPr>
            <w:tcW w:w="548" w:type="pct"/>
            <w:noWrap/>
            <w:vAlign w:val="center"/>
            <w:hideMark/>
          </w:tcPr>
          <w:p w14:paraId="7F7EA3B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81</w:t>
            </w:r>
          </w:p>
        </w:tc>
      </w:tr>
      <w:tr w:rsidR="00626A44" w:rsidRPr="00595D37" w14:paraId="75B991C4" w14:textId="77777777" w:rsidTr="00D31172">
        <w:trPr>
          <w:trHeight w:val="3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192579DA"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Hollister School</w:t>
            </w:r>
          </w:p>
        </w:tc>
        <w:tc>
          <w:tcPr>
            <w:tcW w:w="1059" w:type="pct"/>
            <w:vAlign w:val="center"/>
            <w:hideMark/>
          </w:tcPr>
          <w:p w14:paraId="4DC0716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proofErr w:type="spellStart"/>
            <w:r w:rsidRPr="00595D37">
              <w:rPr>
                <w:rFonts w:cs="Arial"/>
                <w:snapToGrid/>
                <w:color w:val="000000"/>
                <w:szCs w:val="24"/>
              </w:rPr>
              <w:t>Gabilan</w:t>
            </w:r>
            <w:proofErr w:type="spellEnd"/>
            <w:r w:rsidRPr="00595D37">
              <w:rPr>
                <w:rFonts w:cs="Arial"/>
                <w:snapToGrid/>
                <w:color w:val="000000"/>
                <w:szCs w:val="24"/>
              </w:rPr>
              <w:t xml:space="preserve"> Hills</w:t>
            </w:r>
          </w:p>
        </w:tc>
        <w:tc>
          <w:tcPr>
            <w:tcW w:w="734" w:type="pct"/>
            <w:noWrap/>
            <w:vAlign w:val="center"/>
            <w:hideMark/>
          </w:tcPr>
          <w:p w14:paraId="6ACBEBD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13</w:t>
            </w:r>
          </w:p>
        </w:tc>
        <w:tc>
          <w:tcPr>
            <w:tcW w:w="780" w:type="pct"/>
            <w:noWrap/>
            <w:vAlign w:val="center"/>
            <w:hideMark/>
          </w:tcPr>
          <w:p w14:paraId="2C22718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202</w:t>
            </w:r>
          </w:p>
        </w:tc>
        <w:tc>
          <w:tcPr>
            <w:tcW w:w="458" w:type="pct"/>
            <w:noWrap/>
            <w:vAlign w:val="center"/>
            <w:hideMark/>
          </w:tcPr>
          <w:p w14:paraId="40699E9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w:t>
            </w:r>
          </w:p>
        </w:tc>
        <w:tc>
          <w:tcPr>
            <w:tcW w:w="506" w:type="pct"/>
            <w:noWrap/>
            <w:vAlign w:val="center"/>
            <w:hideMark/>
          </w:tcPr>
          <w:p w14:paraId="2EF68F5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91</w:t>
            </w:r>
          </w:p>
        </w:tc>
        <w:tc>
          <w:tcPr>
            <w:tcW w:w="548" w:type="pct"/>
            <w:noWrap/>
            <w:vAlign w:val="center"/>
            <w:hideMark/>
          </w:tcPr>
          <w:p w14:paraId="43E650E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11</w:t>
            </w:r>
          </w:p>
        </w:tc>
      </w:tr>
      <w:tr w:rsidR="00626A44" w:rsidRPr="00595D37" w14:paraId="5F7BDE4B" w14:textId="77777777" w:rsidTr="00D31172">
        <w:trPr>
          <w:trHeight w:val="9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6B19F7B9"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Hollister School</w:t>
            </w:r>
          </w:p>
        </w:tc>
        <w:tc>
          <w:tcPr>
            <w:tcW w:w="1059" w:type="pct"/>
            <w:vAlign w:val="center"/>
            <w:hideMark/>
          </w:tcPr>
          <w:p w14:paraId="5E41673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Hollister Dual Language Academy</w:t>
            </w:r>
          </w:p>
        </w:tc>
        <w:tc>
          <w:tcPr>
            <w:tcW w:w="734" w:type="pct"/>
            <w:noWrap/>
            <w:vAlign w:val="center"/>
            <w:hideMark/>
          </w:tcPr>
          <w:p w14:paraId="0E21C8A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37</w:t>
            </w:r>
          </w:p>
        </w:tc>
        <w:tc>
          <w:tcPr>
            <w:tcW w:w="780" w:type="pct"/>
            <w:noWrap/>
            <w:vAlign w:val="center"/>
            <w:hideMark/>
          </w:tcPr>
          <w:p w14:paraId="411B8B6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784</w:t>
            </w:r>
          </w:p>
        </w:tc>
        <w:tc>
          <w:tcPr>
            <w:tcW w:w="458" w:type="pct"/>
            <w:noWrap/>
            <w:vAlign w:val="center"/>
            <w:hideMark/>
          </w:tcPr>
          <w:p w14:paraId="58C0CFD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w:t>
            </w:r>
          </w:p>
        </w:tc>
        <w:tc>
          <w:tcPr>
            <w:tcW w:w="506" w:type="pct"/>
            <w:noWrap/>
            <w:vAlign w:val="center"/>
            <w:hideMark/>
          </w:tcPr>
          <w:p w14:paraId="77F2D6A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355</w:t>
            </w:r>
          </w:p>
        </w:tc>
        <w:tc>
          <w:tcPr>
            <w:tcW w:w="548" w:type="pct"/>
            <w:noWrap/>
            <w:vAlign w:val="center"/>
            <w:hideMark/>
          </w:tcPr>
          <w:p w14:paraId="3A22AE0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49</w:t>
            </w:r>
          </w:p>
        </w:tc>
      </w:tr>
      <w:tr w:rsidR="00626A44" w:rsidRPr="00595D37" w14:paraId="619F6AD6"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2E0BDE94"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Hollister School</w:t>
            </w:r>
          </w:p>
        </w:tc>
        <w:tc>
          <w:tcPr>
            <w:tcW w:w="1059" w:type="pct"/>
            <w:vAlign w:val="center"/>
            <w:hideMark/>
          </w:tcPr>
          <w:p w14:paraId="1866ACD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Ladd Lane Elementary</w:t>
            </w:r>
          </w:p>
        </w:tc>
        <w:tc>
          <w:tcPr>
            <w:tcW w:w="734" w:type="pct"/>
            <w:noWrap/>
            <w:vAlign w:val="center"/>
            <w:hideMark/>
          </w:tcPr>
          <w:p w14:paraId="3602264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32</w:t>
            </w:r>
          </w:p>
        </w:tc>
        <w:tc>
          <w:tcPr>
            <w:tcW w:w="780" w:type="pct"/>
            <w:noWrap/>
            <w:vAlign w:val="center"/>
            <w:hideMark/>
          </w:tcPr>
          <w:p w14:paraId="0B8327A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659</w:t>
            </w:r>
          </w:p>
        </w:tc>
        <w:tc>
          <w:tcPr>
            <w:tcW w:w="458" w:type="pct"/>
            <w:noWrap/>
            <w:vAlign w:val="center"/>
            <w:hideMark/>
          </w:tcPr>
          <w:p w14:paraId="4195959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w:t>
            </w:r>
          </w:p>
        </w:tc>
        <w:tc>
          <w:tcPr>
            <w:tcW w:w="506" w:type="pct"/>
            <w:noWrap/>
            <w:vAlign w:val="center"/>
            <w:hideMark/>
          </w:tcPr>
          <w:p w14:paraId="2298FD8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133</w:t>
            </w:r>
          </w:p>
        </w:tc>
        <w:tc>
          <w:tcPr>
            <w:tcW w:w="548" w:type="pct"/>
            <w:noWrap/>
            <w:vAlign w:val="center"/>
            <w:hideMark/>
          </w:tcPr>
          <w:p w14:paraId="6243E46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100</w:t>
            </w:r>
          </w:p>
        </w:tc>
      </w:tr>
      <w:tr w:rsidR="00626A44" w:rsidRPr="00595D37" w14:paraId="14A92EDE" w14:textId="77777777" w:rsidTr="00D31172">
        <w:trPr>
          <w:trHeight w:val="3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BD27EE4"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Hollister School</w:t>
            </w:r>
          </w:p>
        </w:tc>
        <w:tc>
          <w:tcPr>
            <w:tcW w:w="1059" w:type="pct"/>
            <w:vAlign w:val="center"/>
            <w:hideMark/>
          </w:tcPr>
          <w:p w14:paraId="155AC0E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Maze Middle</w:t>
            </w:r>
          </w:p>
        </w:tc>
        <w:tc>
          <w:tcPr>
            <w:tcW w:w="734" w:type="pct"/>
            <w:noWrap/>
            <w:vAlign w:val="center"/>
            <w:hideMark/>
          </w:tcPr>
          <w:p w14:paraId="55A8249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34</w:t>
            </w:r>
          </w:p>
        </w:tc>
        <w:tc>
          <w:tcPr>
            <w:tcW w:w="780" w:type="pct"/>
            <w:noWrap/>
            <w:vAlign w:val="center"/>
            <w:hideMark/>
          </w:tcPr>
          <w:p w14:paraId="2E91265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714</w:t>
            </w:r>
          </w:p>
        </w:tc>
        <w:tc>
          <w:tcPr>
            <w:tcW w:w="458" w:type="pct"/>
            <w:noWrap/>
            <w:vAlign w:val="center"/>
            <w:hideMark/>
          </w:tcPr>
          <w:p w14:paraId="11790E9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w:t>
            </w:r>
          </w:p>
        </w:tc>
        <w:tc>
          <w:tcPr>
            <w:tcW w:w="506" w:type="pct"/>
            <w:noWrap/>
            <w:vAlign w:val="center"/>
            <w:hideMark/>
          </w:tcPr>
          <w:p w14:paraId="6C31335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239</w:t>
            </w:r>
          </w:p>
        </w:tc>
        <w:tc>
          <w:tcPr>
            <w:tcW w:w="548" w:type="pct"/>
            <w:noWrap/>
            <w:vAlign w:val="center"/>
            <w:hideMark/>
          </w:tcPr>
          <w:p w14:paraId="368B2F7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107</w:t>
            </w:r>
          </w:p>
        </w:tc>
      </w:tr>
      <w:tr w:rsidR="00626A44" w:rsidRPr="00595D37" w14:paraId="01A237FA"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977C26E"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Hollister School</w:t>
            </w:r>
          </w:p>
        </w:tc>
        <w:tc>
          <w:tcPr>
            <w:tcW w:w="1059" w:type="pct"/>
            <w:vAlign w:val="center"/>
            <w:hideMark/>
          </w:tcPr>
          <w:p w14:paraId="426AD04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R. O. Hardin Elementary</w:t>
            </w:r>
          </w:p>
        </w:tc>
        <w:tc>
          <w:tcPr>
            <w:tcW w:w="734" w:type="pct"/>
            <w:noWrap/>
            <w:vAlign w:val="center"/>
            <w:hideMark/>
          </w:tcPr>
          <w:p w14:paraId="16C3FC5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23</w:t>
            </w:r>
          </w:p>
        </w:tc>
        <w:tc>
          <w:tcPr>
            <w:tcW w:w="780" w:type="pct"/>
            <w:noWrap/>
            <w:vAlign w:val="center"/>
            <w:hideMark/>
          </w:tcPr>
          <w:p w14:paraId="77B5892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458</w:t>
            </w:r>
          </w:p>
        </w:tc>
        <w:tc>
          <w:tcPr>
            <w:tcW w:w="458" w:type="pct"/>
            <w:noWrap/>
            <w:vAlign w:val="center"/>
            <w:hideMark/>
          </w:tcPr>
          <w:p w14:paraId="0A5C53D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w:t>
            </w:r>
          </w:p>
        </w:tc>
        <w:tc>
          <w:tcPr>
            <w:tcW w:w="506" w:type="pct"/>
            <w:noWrap/>
            <w:vAlign w:val="center"/>
            <w:hideMark/>
          </w:tcPr>
          <w:p w14:paraId="13087C6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258</w:t>
            </w:r>
          </w:p>
        </w:tc>
        <w:tc>
          <w:tcPr>
            <w:tcW w:w="548" w:type="pct"/>
            <w:noWrap/>
            <w:vAlign w:val="center"/>
            <w:hideMark/>
          </w:tcPr>
          <w:p w14:paraId="479A32F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56</w:t>
            </w:r>
          </w:p>
        </w:tc>
      </w:tr>
      <w:tr w:rsidR="00626A44" w:rsidRPr="00595D37" w14:paraId="2F24C394"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474A2A2B"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Hollister School</w:t>
            </w:r>
          </w:p>
        </w:tc>
        <w:tc>
          <w:tcPr>
            <w:tcW w:w="1059" w:type="pct"/>
            <w:vAlign w:val="center"/>
            <w:hideMark/>
          </w:tcPr>
          <w:p w14:paraId="03407DE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Rancho San Justo</w:t>
            </w:r>
          </w:p>
        </w:tc>
        <w:tc>
          <w:tcPr>
            <w:tcW w:w="734" w:type="pct"/>
            <w:noWrap/>
            <w:vAlign w:val="center"/>
            <w:hideMark/>
          </w:tcPr>
          <w:p w14:paraId="5C29DFE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43</w:t>
            </w:r>
          </w:p>
        </w:tc>
        <w:tc>
          <w:tcPr>
            <w:tcW w:w="780" w:type="pct"/>
            <w:noWrap/>
            <w:vAlign w:val="center"/>
            <w:hideMark/>
          </w:tcPr>
          <w:p w14:paraId="4D7F7F7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911</w:t>
            </w:r>
          </w:p>
        </w:tc>
        <w:tc>
          <w:tcPr>
            <w:tcW w:w="458" w:type="pct"/>
            <w:noWrap/>
            <w:vAlign w:val="center"/>
            <w:hideMark/>
          </w:tcPr>
          <w:p w14:paraId="2F4A650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w:t>
            </w:r>
          </w:p>
        </w:tc>
        <w:tc>
          <w:tcPr>
            <w:tcW w:w="506" w:type="pct"/>
            <w:noWrap/>
            <w:vAlign w:val="center"/>
            <w:hideMark/>
          </w:tcPr>
          <w:p w14:paraId="5411B09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226</w:t>
            </w:r>
          </w:p>
        </w:tc>
        <w:tc>
          <w:tcPr>
            <w:tcW w:w="548" w:type="pct"/>
            <w:noWrap/>
            <w:vAlign w:val="center"/>
            <w:hideMark/>
          </w:tcPr>
          <w:p w14:paraId="45B0EA9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125</w:t>
            </w:r>
          </w:p>
        </w:tc>
      </w:tr>
      <w:tr w:rsidR="00626A44" w:rsidRPr="00595D37" w14:paraId="4C5E8D1D"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06FCFF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Hollister School</w:t>
            </w:r>
          </w:p>
        </w:tc>
        <w:tc>
          <w:tcPr>
            <w:tcW w:w="1059" w:type="pct"/>
            <w:vAlign w:val="center"/>
            <w:hideMark/>
          </w:tcPr>
          <w:p w14:paraId="4C8B2B3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Sunnyslope Elementary</w:t>
            </w:r>
          </w:p>
        </w:tc>
        <w:tc>
          <w:tcPr>
            <w:tcW w:w="734" w:type="pct"/>
            <w:noWrap/>
            <w:vAlign w:val="center"/>
            <w:hideMark/>
          </w:tcPr>
          <w:p w14:paraId="12051AE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28</w:t>
            </w:r>
          </w:p>
        </w:tc>
        <w:tc>
          <w:tcPr>
            <w:tcW w:w="780" w:type="pct"/>
            <w:noWrap/>
            <w:vAlign w:val="center"/>
            <w:hideMark/>
          </w:tcPr>
          <w:p w14:paraId="68E5951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572</w:t>
            </w:r>
          </w:p>
        </w:tc>
        <w:tc>
          <w:tcPr>
            <w:tcW w:w="458" w:type="pct"/>
            <w:noWrap/>
            <w:vAlign w:val="center"/>
            <w:hideMark/>
          </w:tcPr>
          <w:p w14:paraId="4A955B4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w:t>
            </w:r>
          </w:p>
        </w:tc>
        <w:tc>
          <w:tcPr>
            <w:tcW w:w="506" w:type="pct"/>
            <w:noWrap/>
            <w:vAlign w:val="center"/>
            <w:hideMark/>
          </w:tcPr>
          <w:p w14:paraId="5EDBE7B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185</w:t>
            </w:r>
          </w:p>
        </w:tc>
        <w:tc>
          <w:tcPr>
            <w:tcW w:w="548" w:type="pct"/>
            <w:noWrap/>
            <w:vAlign w:val="center"/>
            <w:hideMark/>
          </w:tcPr>
          <w:p w14:paraId="3556574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87</w:t>
            </w:r>
          </w:p>
        </w:tc>
      </w:tr>
      <w:tr w:rsidR="00626A44" w:rsidRPr="00595D37" w14:paraId="3A86357D"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62588154"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Morgan Hill Unified</w:t>
            </w:r>
          </w:p>
        </w:tc>
        <w:tc>
          <w:tcPr>
            <w:tcW w:w="1059" w:type="pct"/>
            <w:vAlign w:val="center"/>
            <w:hideMark/>
          </w:tcPr>
          <w:p w14:paraId="78664DA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 xml:space="preserve">Ann </w:t>
            </w:r>
            <w:proofErr w:type="spellStart"/>
            <w:r w:rsidRPr="00595D37">
              <w:rPr>
                <w:rFonts w:cs="Arial"/>
                <w:snapToGrid/>
                <w:color w:val="000000"/>
                <w:szCs w:val="24"/>
              </w:rPr>
              <w:t>Sobrato</w:t>
            </w:r>
            <w:proofErr w:type="spellEnd"/>
            <w:r w:rsidRPr="00595D37">
              <w:rPr>
                <w:rFonts w:cs="Arial"/>
                <w:snapToGrid/>
                <w:color w:val="000000"/>
                <w:szCs w:val="24"/>
              </w:rPr>
              <w:t xml:space="preserve"> High</w:t>
            </w:r>
          </w:p>
        </w:tc>
        <w:tc>
          <w:tcPr>
            <w:tcW w:w="734" w:type="pct"/>
            <w:noWrap/>
            <w:vAlign w:val="center"/>
            <w:hideMark/>
          </w:tcPr>
          <w:p w14:paraId="07BDED3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63</w:t>
            </w:r>
          </w:p>
        </w:tc>
        <w:tc>
          <w:tcPr>
            <w:tcW w:w="780" w:type="pct"/>
            <w:noWrap/>
            <w:vAlign w:val="center"/>
            <w:hideMark/>
          </w:tcPr>
          <w:p w14:paraId="1C42200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1,408</w:t>
            </w:r>
          </w:p>
        </w:tc>
        <w:tc>
          <w:tcPr>
            <w:tcW w:w="458" w:type="pct"/>
            <w:noWrap/>
            <w:vAlign w:val="center"/>
            <w:hideMark/>
          </w:tcPr>
          <w:p w14:paraId="2FD3D6E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31</w:t>
            </w:r>
          </w:p>
        </w:tc>
        <w:tc>
          <w:tcPr>
            <w:tcW w:w="506" w:type="pct"/>
            <w:noWrap/>
            <w:vAlign w:val="center"/>
            <w:hideMark/>
          </w:tcPr>
          <w:p w14:paraId="6CE9443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72</w:t>
            </w:r>
          </w:p>
        </w:tc>
        <w:tc>
          <w:tcPr>
            <w:tcW w:w="548" w:type="pct"/>
            <w:noWrap/>
            <w:vAlign w:val="center"/>
            <w:hideMark/>
          </w:tcPr>
          <w:p w14:paraId="4BEC124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155</w:t>
            </w:r>
          </w:p>
        </w:tc>
      </w:tr>
      <w:tr w:rsidR="00626A44" w:rsidRPr="00595D37" w14:paraId="5979EDC8"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49BED460"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Morgan Hill Unified</w:t>
            </w:r>
          </w:p>
        </w:tc>
        <w:tc>
          <w:tcPr>
            <w:tcW w:w="1059" w:type="pct"/>
            <w:vAlign w:val="center"/>
            <w:hideMark/>
          </w:tcPr>
          <w:p w14:paraId="38E64A2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Barrett Elementary</w:t>
            </w:r>
          </w:p>
        </w:tc>
        <w:tc>
          <w:tcPr>
            <w:tcW w:w="734" w:type="pct"/>
            <w:noWrap/>
            <w:vAlign w:val="center"/>
            <w:hideMark/>
          </w:tcPr>
          <w:p w14:paraId="75B7ADD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22</w:t>
            </w:r>
          </w:p>
        </w:tc>
        <w:tc>
          <w:tcPr>
            <w:tcW w:w="780" w:type="pct"/>
            <w:noWrap/>
            <w:vAlign w:val="center"/>
            <w:hideMark/>
          </w:tcPr>
          <w:p w14:paraId="229595C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419</w:t>
            </w:r>
          </w:p>
        </w:tc>
        <w:tc>
          <w:tcPr>
            <w:tcW w:w="458" w:type="pct"/>
            <w:noWrap/>
            <w:vAlign w:val="center"/>
            <w:hideMark/>
          </w:tcPr>
          <w:p w14:paraId="5F9FF0C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w:t>
            </w:r>
          </w:p>
        </w:tc>
        <w:tc>
          <w:tcPr>
            <w:tcW w:w="506" w:type="pct"/>
            <w:noWrap/>
            <w:vAlign w:val="center"/>
            <w:hideMark/>
          </w:tcPr>
          <w:p w14:paraId="15E5A57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124</w:t>
            </w:r>
          </w:p>
        </w:tc>
        <w:tc>
          <w:tcPr>
            <w:tcW w:w="548" w:type="pct"/>
            <w:noWrap/>
            <w:vAlign w:val="center"/>
            <w:hideMark/>
          </w:tcPr>
          <w:p w14:paraId="26099A8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62</w:t>
            </w:r>
          </w:p>
        </w:tc>
      </w:tr>
      <w:tr w:rsidR="00626A44" w:rsidRPr="00595D37" w14:paraId="1139E9A8"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5A3E919"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Morgan Hill Unified</w:t>
            </w:r>
          </w:p>
        </w:tc>
        <w:tc>
          <w:tcPr>
            <w:tcW w:w="1059" w:type="pct"/>
            <w:vAlign w:val="center"/>
            <w:hideMark/>
          </w:tcPr>
          <w:p w14:paraId="6C323CF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Central High (Continuation)</w:t>
            </w:r>
          </w:p>
        </w:tc>
        <w:tc>
          <w:tcPr>
            <w:tcW w:w="734" w:type="pct"/>
            <w:noWrap/>
            <w:vAlign w:val="center"/>
            <w:hideMark/>
          </w:tcPr>
          <w:p w14:paraId="5E58FA1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10</w:t>
            </w:r>
          </w:p>
        </w:tc>
        <w:tc>
          <w:tcPr>
            <w:tcW w:w="780" w:type="pct"/>
            <w:noWrap/>
            <w:vAlign w:val="center"/>
            <w:hideMark/>
          </w:tcPr>
          <w:p w14:paraId="167F06A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137</w:t>
            </w:r>
          </w:p>
        </w:tc>
        <w:tc>
          <w:tcPr>
            <w:tcW w:w="458" w:type="pct"/>
            <w:noWrap/>
            <w:vAlign w:val="center"/>
            <w:hideMark/>
          </w:tcPr>
          <w:p w14:paraId="222F9E7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w:t>
            </w:r>
          </w:p>
        </w:tc>
        <w:tc>
          <w:tcPr>
            <w:tcW w:w="506" w:type="pct"/>
            <w:noWrap/>
            <w:vAlign w:val="center"/>
            <w:hideMark/>
          </w:tcPr>
          <w:p w14:paraId="17DE4A7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20</w:t>
            </w:r>
          </w:p>
        </w:tc>
        <w:tc>
          <w:tcPr>
            <w:tcW w:w="548" w:type="pct"/>
            <w:noWrap/>
            <w:vAlign w:val="center"/>
            <w:hideMark/>
          </w:tcPr>
          <w:p w14:paraId="45DB82E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26</w:t>
            </w:r>
          </w:p>
        </w:tc>
      </w:tr>
      <w:tr w:rsidR="00626A44" w:rsidRPr="00595D37" w14:paraId="0B2F041D" w14:textId="77777777" w:rsidTr="00D31172">
        <w:trPr>
          <w:trHeight w:val="9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5C590AB"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Morgan Hill Unified</w:t>
            </w:r>
          </w:p>
        </w:tc>
        <w:tc>
          <w:tcPr>
            <w:tcW w:w="1059" w:type="pct"/>
            <w:vAlign w:val="center"/>
            <w:hideMark/>
          </w:tcPr>
          <w:p w14:paraId="374BEAA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El Toro Health Science Academy</w:t>
            </w:r>
          </w:p>
        </w:tc>
        <w:tc>
          <w:tcPr>
            <w:tcW w:w="734" w:type="pct"/>
            <w:noWrap/>
            <w:vAlign w:val="center"/>
            <w:hideMark/>
          </w:tcPr>
          <w:p w14:paraId="7674FBB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w:t>
            </w:r>
          </w:p>
        </w:tc>
        <w:tc>
          <w:tcPr>
            <w:tcW w:w="780" w:type="pct"/>
            <w:noWrap/>
            <w:vAlign w:val="center"/>
            <w:hideMark/>
          </w:tcPr>
          <w:p w14:paraId="00E9F53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398</w:t>
            </w:r>
          </w:p>
        </w:tc>
        <w:tc>
          <w:tcPr>
            <w:tcW w:w="458" w:type="pct"/>
            <w:noWrap/>
            <w:vAlign w:val="center"/>
            <w:hideMark/>
          </w:tcPr>
          <w:p w14:paraId="2A715FD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506" w:type="pct"/>
            <w:noWrap/>
            <w:vAlign w:val="center"/>
            <w:hideMark/>
          </w:tcPr>
          <w:p w14:paraId="5A77075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81</w:t>
            </w:r>
          </w:p>
        </w:tc>
        <w:tc>
          <w:tcPr>
            <w:tcW w:w="548" w:type="pct"/>
            <w:noWrap/>
            <w:vAlign w:val="center"/>
            <w:hideMark/>
          </w:tcPr>
          <w:p w14:paraId="23623F9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42</w:t>
            </w:r>
          </w:p>
        </w:tc>
      </w:tr>
      <w:tr w:rsidR="00626A44" w:rsidRPr="00595D37" w14:paraId="1E06B5EC" w14:textId="77777777" w:rsidTr="00D31172">
        <w:trPr>
          <w:trHeight w:val="12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25BD881B"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lastRenderedPageBreak/>
              <w:t>Morgan Hill Unified</w:t>
            </w:r>
          </w:p>
        </w:tc>
        <w:tc>
          <w:tcPr>
            <w:tcW w:w="1059" w:type="pct"/>
            <w:vAlign w:val="center"/>
            <w:hideMark/>
          </w:tcPr>
          <w:p w14:paraId="731B36C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Jackson Academy of Music and Math (JAMM)</w:t>
            </w:r>
          </w:p>
        </w:tc>
        <w:tc>
          <w:tcPr>
            <w:tcW w:w="734" w:type="pct"/>
            <w:noWrap/>
            <w:vAlign w:val="center"/>
            <w:hideMark/>
          </w:tcPr>
          <w:p w14:paraId="7611F26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27</w:t>
            </w:r>
          </w:p>
        </w:tc>
        <w:tc>
          <w:tcPr>
            <w:tcW w:w="780" w:type="pct"/>
            <w:noWrap/>
            <w:vAlign w:val="center"/>
            <w:hideMark/>
          </w:tcPr>
          <w:p w14:paraId="298DE9A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631</w:t>
            </w:r>
          </w:p>
        </w:tc>
        <w:tc>
          <w:tcPr>
            <w:tcW w:w="458" w:type="pct"/>
            <w:noWrap/>
            <w:vAlign w:val="center"/>
            <w:hideMark/>
          </w:tcPr>
          <w:p w14:paraId="4448C1F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506" w:type="pct"/>
            <w:noWrap/>
            <w:vAlign w:val="center"/>
            <w:hideMark/>
          </w:tcPr>
          <w:p w14:paraId="36452F7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65</w:t>
            </w:r>
          </w:p>
        </w:tc>
        <w:tc>
          <w:tcPr>
            <w:tcW w:w="548" w:type="pct"/>
            <w:noWrap/>
            <w:vAlign w:val="center"/>
            <w:hideMark/>
          </w:tcPr>
          <w:p w14:paraId="1739C35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70</w:t>
            </w:r>
          </w:p>
        </w:tc>
      </w:tr>
      <w:tr w:rsidR="00626A44" w:rsidRPr="00595D37" w14:paraId="02FE5D5B"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027DDAC2"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Morgan Hill Unified</w:t>
            </w:r>
          </w:p>
        </w:tc>
        <w:tc>
          <w:tcPr>
            <w:tcW w:w="1059" w:type="pct"/>
            <w:vAlign w:val="center"/>
            <w:hideMark/>
          </w:tcPr>
          <w:p w14:paraId="313DE48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Lewis H. Britton Middle</w:t>
            </w:r>
          </w:p>
        </w:tc>
        <w:tc>
          <w:tcPr>
            <w:tcW w:w="734" w:type="pct"/>
            <w:noWrap/>
            <w:vAlign w:val="center"/>
            <w:hideMark/>
          </w:tcPr>
          <w:p w14:paraId="2E759ED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36</w:t>
            </w:r>
          </w:p>
        </w:tc>
        <w:tc>
          <w:tcPr>
            <w:tcW w:w="780" w:type="pct"/>
            <w:noWrap/>
            <w:vAlign w:val="center"/>
            <w:hideMark/>
          </w:tcPr>
          <w:p w14:paraId="715A54C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773</w:t>
            </w:r>
          </w:p>
        </w:tc>
        <w:tc>
          <w:tcPr>
            <w:tcW w:w="458" w:type="pct"/>
            <w:noWrap/>
            <w:vAlign w:val="center"/>
            <w:hideMark/>
          </w:tcPr>
          <w:p w14:paraId="3173072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w:t>
            </w:r>
          </w:p>
        </w:tc>
        <w:tc>
          <w:tcPr>
            <w:tcW w:w="506" w:type="pct"/>
            <w:noWrap/>
            <w:vAlign w:val="center"/>
            <w:hideMark/>
          </w:tcPr>
          <w:p w14:paraId="24E600C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134</w:t>
            </w:r>
          </w:p>
        </w:tc>
        <w:tc>
          <w:tcPr>
            <w:tcW w:w="548" w:type="pct"/>
            <w:noWrap/>
            <w:vAlign w:val="center"/>
            <w:hideMark/>
          </w:tcPr>
          <w:p w14:paraId="26B82F6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113</w:t>
            </w:r>
          </w:p>
        </w:tc>
      </w:tr>
      <w:tr w:rsidR="00626A44" w:rsidRPr="00595D37" w14:paraId="6789E9FF"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350199D"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Morgan Hill Unified</w:t>
            </w:r>
          </w:p>
        </w:tc>
        <w:tc>
          <w:tcPr>
            <w:tcW w:w="1059" w:type="pct"/>
            <w:vAlign w:val="center"/>
            <w:hideMark/>
          </w:tcPr>
          <w:p w14:paraId="62F386A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Live Oak High</w:t>
            </w:r>
          </w:p>
        </w:tc>
        <w:tc>
          <w:tcPr>
            <w:tcW w:w="734" w:type="pct"/>
            <w:noWrap/>
            <w:vAlign w:val="center"/>
            <w:hideMark/>
          </w:tcPr>
          <w:p w14:paraId="3381DE1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52</w:t>
            </w:r>
          </w:p>
        </w:tc>
        <w:tc>
          <w:tcPr>
            <w:tcW w:w="780" w:type="pct"/>
            <w:noWrap/>
            <w:vAlign w:val="center"/>
            <w:hideMark/>
          </w:tcPr>
          <w:p w14:paraId="1831998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1,161</w:t>
            </w:r>
          </w:p>
        </w:tc>
        <w:tc>
          <w:tcPr>
            <w:tcW w:w="458" w:type="pct"/>
            <w:noWrap/>
            <w:vAlign w:val="center"/>
            <w:hideMark/>
          </w:tcPr>
          <w:p w14:paraId="41DCB2D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22</w:t>
            </w:r>
          </w:p>
        </w:tc>
        <w:tc>
          <w:tcPr>
            <w:tcW w:w="506" w:type="pct"/>
            <w:noWrap/>
            <w:vAlign w:val="center"/>
            <w:hideMark/>
          </w:tcPr>
          <w:p w14:paraId="4AC54B7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78</w:t>
            </w:r>
          </w:p>
        </w:tc>
        <w:tc>
          <w:tcPr>
            <w:tcW w:w="548" w:type="pct"/>
            <w:noWrap/>
            <w:vAlign w:val="center"/>
            <w:hideMark/>
          </w:tcPr>
          <w:p w14:paraId="0DED66B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150</w:t>
            </w:r>
          </w:p>
        </w:tc>
      </w:tr>
      <w:tr w:rsidR="00626A44" w:rsidRPr="00595D37" w14:paraId="6509A2C4"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0E2B6FA"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Morgan Hill Unified</w:t>
            </w:r>
          </w:p>
        </w:tc>
        <w:tc>
          <w:tcPr>
            <w:tcW w:w="1059" w:type="pct"/>
            <w:vAlign w:val="center"/>
            <w:hideMark/>
          </w:tcPr>
          <w:p w14:paraId="0492586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Los Paseos Elementary</w:t>
            </w:r>
          </w:p>
        </w:tc>
        <w:tc>
          <w:tcPr>
            <w:tcW w:w="734" w:type="pct"/>
            <w:noWrap/>
            <w:vAlign w:val="center"/>
            <w:hideMark/>
          </w:tcPr>
          <w:p w14:paraId="7D56617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22</w:t>
            </w:r>
          </w:p>
        </w:tc>
        <w:tc>
          <w:tcPr>
            <w:tcW w:w="780" w:type="pct"/>
            <w:noWrap/>
            <w:vAlign w:val="center"/>
            <w:hideMark/>
          </w:tcPr>
          <w:p w14:paraId="75E65B0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501</w:t>
            </w:r>
          </w:p>
        </w:tc>
        <w:tc>
          <w:tcPr>
            <w:tcW w:w="458" w:type="pct"/>
            <w:noWrap/>
            <w:vAlign w:val="center"/>
            <w:hideMark/>
          </w:tcPr>
          <w:p w14:paraId="213F60A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11</w:t>
            </w:r>
          </w:p>
        </w:tc>
        <w:tc>
          <w:tcPr>
            <w:tcW w:w="506" w:type="pct"/>
            <w:noWrap/>
            <w:vAlign w:val="center"/>
            <w:hideMark/>
          </w:tcPr>
          <w:p w14:paraId="176CC92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93</w:t>
            </w:r>
          </w:p>
        </w:tc>
        <w:tc>
          <w:tcPr>
            <w:tcW w:w="548" w:type="pct"/>
            <w:noWrap/>
            <w:vAlign w:val="center"/>
            <w:hideMark/>
          </w:tcPr>
          <w:p w14:paraId="436DC41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63</w:t>
            </w:r>
          </w:p>
        </w:tc>
      </w:tr>
      <w:tr w:rsidR="00626A44" w:rsidRPr="00595D37" w14:paraId="5330A7D9"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DB61A50"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Morgan Hill Unified</w:t>
            </w:r>
          </w:p>
        </w:tc>
        <w:tc>
          <w:tcPr>
            <w:tcW w:w="1059" w:type="pct"/>
            <w:vAlign w:val="center"/>
            <w:hideMark/>
          </w:tcPr>
          <w:p w14:paraId="0E1C322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Martin Murphy Middle</w:t>
            </w:r>
          </w:p>
        </w:tc>
        <w:tc>
          <w:tcPr>
            <w:tcW w:w="734" w:type="pct"/>
            <w:noWrap/>
            <w:vAlign w:val="center"/>
            <w:hideMark/>
          </w:tcPr>
          <w:p w14:paraId="6ABBBEE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32</w:t>
            </w:r>
          </w:p>
        </w:tc>
        <w:tc>
          <w:tcPr>
            <w:tcW w:w="780" w:type="pct"/>
            <w:noWrap/>
            <w:vAlign w:val="center"/>
            <w:hideMark/>
          </w:tcPr>
          <w:p w14:paraId="3F97967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742</w:t>
            </w:r>
          </w:p>
        </w:tc>
        <w:tc>
          <w:tcPr>
            <w:tcW w:w="458" w:type="pct"/>
            <w:noWrap/>
            <w:vAlign w:val="center"/>
            <w:hideMark/>
          </w:tcPr>
          <w:p w14:paraId="3574E27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14</w:t>
            </w:r>
          </w:p>
        </w:tc>
        <w:tc>
          <w:tcPr>
            <w:tcW w:w="506" w:type="pct"/>
            <w:noWrap/>
            <w:vAlign w:val="center"/>
            <w:hideMark/>
          </w:tcPr>
          <w:p w14:paraId="6021041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75</w:t>
            </w:r>
          </w:p>
        </w:tc>
        <w:tc>
          <w:tcPr>
            <w:tcW w:w="548" w:type="pct"/>
            <w:noWrap/>
            <w:vAlign w:val="center"/>
            <w:hideMark/>
          </w:tcPr>
          <w:p w14:paraId="6DA7A34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94</w:t>
            </w:r>
          </w:p>
        </w:tc>
      </w:tr>
      <w:tr w:rsidR="00626A44" w:rsidRPr="00595D37" w14:paraId="25581F64"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0CA418C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Morgan Hill Unified</w:t>
            </w:r>
          </w:p>
        </w:tc>
        <w:tc>
          <w:tcPr>
            <w:tcW w:w="1059" w:type="pct"/>
            <w:vAlign w:val="center"/>
            <w:hideMark/>
          </w:tcPr>
          <w:p w14:paraId="0E58830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Nordstrom Elementary</w:t>
            </w:r>
          </w:p>
        </w:tc>
        <w:tc>
          <w:tcPr>
            <w:tcW w:w="734" w:type="pct"/>
            <w:noWrap/>
            <w:vAlign w:val="center"/>
            <w:hideMark/>
          </w:tcPr>
          <w:p w14:paraId="74A7AED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27</w:t>
            </w:r>
          </w:p>
        </w:tc>
        <w:tc>
          <w:tcPr>
            <w:tcW w:w="780" w:type="pct"/>
            <w:noWrap/>
            <w:vAlign w:val="center"/>
            <w:hideMark/>
          </w:tcPr>
          <w:p w14:paraId="5FEB14E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614</w:t>
            </w:r>
          </w:p>
        </w:tc>
        <w:tc>
          <w:tcPr>
            <w:tcW w:w="458" w:type="pct"/>
            <w:noWrap/>
            <w:vAlign w:val="center"/>
            <w:hideMark/>
          </w:tcPr>
          <w:p w14:paraId="588E58C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w:t>
            </w:r>
          </w:p>
        </w:tc>
        <w:tc>
          <w:tcPr>
            <w:tcW w:w="506" w:type="pct"/>
            <w:noWrap/>
            <w:vAlign w:val="center"/>
            <w:hideMark/>
          </w:tcPr>
          <w:p w14:paraId="67F1C41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65</w:t>
            </w:r>
          </w:p>
        </w:tc>
        <w:tc>
          <w:tcPr>
            <w:tcW w:w="548" w:type="pct"/>
            <w:noWrap/>
            <w:vAlign w:val="center"/>
            <w:hideMark/>
          </w:tcPr>
          <w:p w14:paraId="40FC2D0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56</w:t>
            </w:r>
          </w:p>
        </w:tc>
      </w:tr>
      <w:tr w:rsidR="00626A44" w:rsidRPr="00595D37" w14:paraId="2429C521" w14:textId="77777777" w:rsidTr="00D31172">
        <w:trPr>
          <w:trHeight w:val="9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40B8FB7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Morgan Hill Unified</w:t>
            </w:r>
          </w:p>
        </w:tc>
        <w:tc>
          <w:tcPr>
            <w:tcW w:w="1059" w:type="pct"/>
            <w:vAlign w:val="center"/>
            <w:hideMark/>
          </w:tcPr>
          <w:p w14:paraId="13950B8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P. A. Walsh STEAM Academy</w:t>
            </w:r>
          </w:p>
        </w:tc>
        <w:tc>
          <w:tcPr>
            <w:tcW w:w="734" w:type="pct"/>
            <w:noWrap/>
            <w:vAlign w:val="center"/>
            <w:hideMark/>
          </w:tcPr>
          <w:p w14:paraId="57E741E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23</w:t>
            </w:r>
          </w:p>
        </w:tc>
        <w:tc>
          <w:tcPr>
            <w:tcW w:w="780" w:type="pct"/>
            <w:noWrap/>
            <w:vAlign w:val="center"/>
            <w:hideMark/>
          </w:tcPr>
          <w:p w14:paraId="5DD9412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417</w:t>
            </w:r>
          </w:p>
        </w:tc>
        <w:tc>
          <w:tcPr>
            <w:tcW w:w="458" w:type="pct"/>
            <w:noWrap/>
            <w:vAlign w:val="center"/>
            <w:hideMark/>
          </w:tcPr>
          <w:p w14:paraId="72A501A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w:t>
            </w:r>
          </w:p>
        </w:tc>
        <w:tc>
          <w:tcPr>
            <w:tcW w:w="506" w:type="pct"/>
            <w:noWrap/>
            <w:vAlign w:val="center"/>
            <w:hideMark/>
          </w:tcPr>
          <w:p w14:paraId="3F3E56D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192</w:t>
            </w:r>
          </w:p>
        </w:tc>
        <w:tc>
          <w:tcPr>
            <w:tcW w:w="548" w:type="pct"/>
            <w:noWrap/>
            <w:vAlign w:val="center"/>
            <w:hideMark/>
          </w:tcPr>
          <w:p w14:paraId="5597306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59</w:t>
            </w:r>
          </w:p>
        </w:tc>
      </w:tr>
      <w:tr w:rsidR="00626A44" w:rsidRPr="00595D37" w14:paraId="27360E3F" w14:textId="77777777" w:rsidTr="00D31172">
        <w:trPr>
          <w:trHeight w:val="9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17C3C4E"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Morgan Hill Unified</w:t>
            </w:r>
          </w:p>
        </w:tc>
        <w:tc>
          <w:tcPr>
            <w:tcW w:w="1059" w:type="pct"/>
            <w:vAlign w:val="center"/>
            <w:hideMark/>
          </w:tcPr>
          <w:p w14:paraId="46227AD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Paradise Valley Engineering Academy</w:t>
            </w:r>
          </w:p>
        </w:tc>
        <w:tc>
          <w:tcPr>
            <w:tcW w:w="734" w:type="pct"/>
            <w:noWrap/>
            <w:vAlign w:val="center"/>
            <w:hideMark/>
          </w:tcPr>
          <w:p w14:paraId="33CE6EC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19</w:t>
            </w:r>
          </w:p>
        </w:tc>
        <w:tc>
          <w:tcPr>
            <w:tcW w:w="780" w:type="pct"/>
            <w:noWrap/>
            <w:vAlign w:val="center"/>
            <w:hideMark/>
          </w:tcPr>
          <w:p w14:paraId="117CB3B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410</w:t>
            </w:r>
          </w:p>
        </w:tc>
        <w:tc>
          <w:tcPr>
            <w:tcW w:w="458" w:type="pct"/>
            <w:noWrap/>
            <w:vAlign w:val="center"/>
            <w:hideMark/>
          </w:tcPr>
          <w:p w14:paraId="780845A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w:t>
            </w:r>
          </w:p>
        </w:tc>
        <w:tc>
          <w:tcPr>
            <w:tcW w:w="506" w:type="pct"/>
            <w:noWrap/>
            <w:vAlign w:val="center"/>
            <w:hideMark/>
          </w:tcPr>
          <w:p w14:paraId="706427D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51</w:t>
            </w:r>
          </w:p>
        </w:tc>
        <w:tc>
          <w:tcPr>
            <w:tcW w:w="548" w:type="pct"/>
            <w:noWrap/>
            <w:vAlign w:val="center"/>
            <w:hideMark/>
          </w:tcPr>
          <w:p w14:paraId="4D5A95E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53</w:t>
            </w:r>
          </w:p>
        </w:tc>
      </w:tr>
      <w:tr w:rsidR="00626A44" w:rsidRPr="00595D37" w14:paraId="7EA1DD35" w14:textId="77777777" w:rsidTr="00D31172">
        <w:trPr>
          <w:trHeight w:val="12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5FCD515D"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Morgan Hill Unified</w:t>
            </w:r>
          </w:p>
        </w:tc>
        <w:tc>
          <w:tcPr>
            <w:tcW w:w="1059" w:type="pct"/>
            <w:vAlign w:val="center"/>
            <w:hideMark/>
          </w:tcPr>
          <w:p w14:paraId="62B74BC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San Martin Gwinn Environmental Science Academy</w:t>
            </w:r>
          </w:p>
        </w:tc>
        <w:tc>
          <w:tcPr>
            <w:tcW w:w="734" w:type="pct"/>
            <w:noWrap/>
            <w:vAlign w:val="center"/>
            <w:hideMark/>
          </w:tcPr>
          <w:p w14:paraId="2CE2055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27</w:t>
            </w:r>
          </w:p>
        </w:tc>
        <w:tc>
          <w:tcPr>
            <w:tcW w:w="780" w:type="pct"/>
            <w:noWrap/>
            <w:vAlign w:val="center"/>
            <w:hideMark/>
          </w:tcPr>
          <w:p w14:paraId="75F335A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667</w:t>
            </w:r>
          </w:p>
        </w:tc>
        <w:tc>
          <w:tcPr>
            <w:tcW w:w="458" w:type="pct"/>
            <w:noWrap/>
            <w:vAlign w:val="center"/>
            <w:hideMark/>
          </w:tcPr>
          <w:p w14:paraId="0E5EA5E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w:t>
            </w:r>
          </w:p>
        </w:tc>
        <w:tc>
          <w:tcPr>
            <w:tcW w:w="506" w:type="pct"/>
            <w:noWrap/>
            <w:vAlign w:val="center"/>
            <w:hideMark/>
          </w:tcPr>
          <w:p w14:paraId="600F858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294</w:t>
            </w:r>
          </w:p>
        </w:tc>
        <w:tc>
          <w:tcPr>
            <w:tcW w:w="548" w:type="pct"/>
            <w:noWrap/>
            <w:vAlign w:val="center"/>
            <w:hideMark/>
          </w:tcPr>
          <w:p w14:paraId="4E827A7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72</w:t>
            </w:r>
          </w:p>
        </w:tc>
      </w:tr>
      <w:tr w:rsidR="00626A44" w:rsidRPr="00595D37" w14:paraId="119AEAC5"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22B02541"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5A91F0C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Anderson (Alex) Elementary</w:t>
            </w:r>
          </w:p>
        </w:tc>
        <w:tc>
          <w:tcPr>
            <w:tcW w:w="734" w:type="pct"/>
            <w:noWrap/>
            <w:vAlign w:val="center"/>
            <w:hideMark/>
          </w:tcPr>
          <w:p w14:paraId="2BCEC4A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26</w:t>
            </w:r>
          </w:p>
        </w:tc>
        <w:tc>
          <w:tcPr>
            <w:tcW w:w="780" w:type="pct"/>
            <w:noWrap/>
            <w:vAlign w:val="center"/>
            <w:hideMark/>
          </w:tcPr>
          <w:p w14:paraId="365C1E8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514</w:t>
            </w:r>
          </w:p>
        </w:tc>
        <w:tc>
          <w:tcPr>
            <w:tcW w:w="458" w:type="pct"/>
            <w:noWrap/>
            <w:vAlign w:val="center"/>
            <w:hideMark/>
          </w:tcPr>
          <w:p w14:paraId="070B05C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16</w:t>
            </w:r>
          </w:p>
        </w:tc>
        <w:tc>
          <w:tcPr>
            <w:tcW w:w="506" w:type="pct"/>
            <w:noWrap/>
            <w:vAlign w:val="center"/>
            <w:hideMark/>
          </w:tcPr>
          <w:p w14:paraId="4CEA08C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172</w:t>
            </w:r>
          </w:p>
        </w:tc>
        <w:tc>
          <w:tcPr>
            <w:tcW w:w="548" w:type="pct"/>
            <w:noWrap/>
            <w:vAlign w:val="center"/>
            <w:hideMark/>
          </w:tcPr>
          <w:p w14:paraId="496061F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102</w:t>
            </w:r>
          </w:p>
        </w:tc>
      </w:tr>
      <w:tr w:rsidR="00626A44" w:rsidRPr="00595D37" w14:paraId="5AA53A23"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F2D3738"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04AC4D4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Baldwin (Julia) Elementary</w:t>
            </w:r>
          </w:p>
        </w:tc>
        <w:tc>
          <w:tcPr>
            <w:tcW w:w="734" w:type="pct"/>
            <w:noWrap/>
            <w:vAlign w:val="center"/>
            <w:hideMark/>
          </w:tcPr>
          <w:p w14:paraId="611CEF2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w:t>
            </w:r>
          </w:p>
        </w:tc>
        <w:tc>
          <w:tcPr>
            <w:tcW w:w="780" w:type="pct"/>
            <w:noWrap/>
            <w:vAlign w:val="center"/>
            <w:hideMark/>
          </w:tcPr>
          <w:p w14:paraId="2E0FE05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485</w:t>
            </w:r>
          </w:p>
        </w:tc>
        <w:tc>
          <w:tcPr>
            <w:tcW w:w="458" w:type="pct"/>
            <w:noWrap/>
            <w:vAlign w:val="center"/>
            <w:hideMark/>
          </w:tcPr>
          <w:p w14:paraId="321E71C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19</w:t>
            </w:r>
          </w:p>
        </w:tc>
        <w:tc>
          <w:tcPr>
            <w:tcW w:w="506" w:type="pct"/>
            <w:noWrap/>
            <w:vAlign w:val="center"/>
            <w:hideMark/>
          </w:tcPr>
          <w:p w14:paraId="54FEAE2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85</w:t>
            </w:r>
          </w:p>
        </w:tc>
        <w:tc>
          <w:tcPr>
            <w:tcW w:w="548" w:type="pct"/>
            <w:noWrap/>
            <w:vAlign w:val="center"/>
            <w:hideMark/>
          </w:tcPr>
          <w:p w14:paraId="496C4BD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45</w:t>
            </w:r>
          </w:p>
        </w:tc>
      </w:tr>
      <w:tr w:rsidR="00626A44" w:rsidRPr="00595D37" w14:paraId="071020CB"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0FB426D0"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0D41A1B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Bernal Intermediate</w:t>
            </w:r>
          </w:p>
        </w:tc>
        <w:tc>
          <w:tcPr>
            <w:tcW w:w="734" w:type="pct"/>
            <w:noWrap/>
            <w:vAlign w:val="center"/>
            <w:hideMark/>
          </w:tcPr>
          <w:p w14:paraId="29E61DD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34</w:t>
            </w:r>
          </w:p>
        </w:tc>
        <w:tc>
          <w:tcPr>
            <w:tcW w:w="780" w:type="pct"/>
            <w:noWrap/>
            <w:vAlign w:val="center"/>
            <w:hideMark/>
          </w:tcPr>
          <w:p w14:paraId="7C13563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742</w:t>
            </w:r>
          </w:p>
        </w:tc>
        <w:tc>
          <w:tcPr>
            <w:tcW w:w="458" w:type="pct"/>
            <w:noWrap/>
            <w:vAlign w:val="center"/>
            <w:hideMark/>
          </w:tcPr>
          <w:p w14:paraId="0CE01E2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26</w:t>
            </w:r>
          </w:p>
        </w:tc>
        <w:tc>
          <w:tcPr>
            <w:tcW w:w="506" w:type="pct"/>
            <w:noWrap/>
            <w:vAlign w:val="center"/>
            <w:hideMark/>
          </w:tcPr>
          <w:p w14:paraId="0CF2913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101</w:t>
            </w:r>
          </w:p>
        </w:tc>
        <w:tc>
          <w:tcPr>
            <w:tcW w:w="548" w:type="pct"/>
            <w:noWrap/>
            <w:vAlign w:val="center"/>
            <w:hideMark/>
          </w:tcPr>
          <w:p w14:paraId="50B9E84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91</w:t>
            </w:r>
          </w:p>
        </w:tc>
      </w:tr>
      <w:tr w:rsidR="00626A44" w:rsidRPr="00595D37" w14:paraId="7B52FA75"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10C6C60B"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34A8539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Christopher Elementary</w:t>
            </w:r>
          </w:p>
        </w:tc>
        <w:tc>
          <w:tcPr>
            <w:tcW w:w="734" w:type="pct"/>
            <w:noWrap/>
            <w:vAlign w:val="center"/>
            <w:hideMark/>
          </w:tcPr>
          <w:p w14:paraId="389C69A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16</w:t>
            </w:r>
          </w:p>
        </w:tc>
        <w:tc>
          <w:tcPr>
            <w:tcW w:w="780" w:type="pct"/>
            <w:noWrap/>
            <w:vAlign w:val="center"/>
            <w:hideMark/>
          </w:tcPr>
          <w:p w14:paraId="638F022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375</w:t>
            </w:r>
          </w:p>
        </w:tc>
        <w:tc>
          <w:tcPr>
            <w:tcW w:w="458" w:type="pct"/>
            <w:noWrap/>
            <w:vAlign w:val="center"/>
            <w:hideMark/>
          </w:tcPr>
          <w:p w14:paraId="0052E9D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w:t>
            </w:r>
          </w:p>
        </w:tc>
        <w:tc>
          <w:tcPr>
            <w:tcW w:w="506" w:type="pct"/>
            <w:noWrap/>
            <w:vAlign w:val="center"/>
            <w:hideMark/>
          </w:tcPr>
          <w:p w14:paraId="07E0A14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156</w:t>
            </w:r>
          </w:p>
        </w:tc>
        <w:tc>
          <w:tcPr>
            <w:tcW w:w="548" w:type="pct"/>
            <w:noWrap/>
            <w:vAlign w:val="center"/>
            <w:hideMark/>
          </w:tcPr>
          <w:p w14:paraId="4F9752D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33</w:t>
            </w:r>
          </w:p>
        </w:tc>
      </w:tr>
      <w:tr w:rsidR="00626A44" w:rsidRPr="00595D37" w14:paraId="25DCE542"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95F5A08"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1A0DC4B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Davis (Caroline) Intermediate</w:t>
            </w:r>
          </w:p>
        </w:tc>
        <w:tc>
          <w:tcPr>
            <w:tcW w:w="734" w:type="pct"/>
            <w:noWrap/>
            <w:vAlign w:val="center"/>
            <w:hideMark/>
          </w:tcPr>
          <w:p w14:paraId="1D416CB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30</w:t>
            </w:r>
          </w:p>
        </w:tc>
        <w:tc>
          <w:tcPr>
            <w:tcW w:w="780" w:type="pct"/>
            <w:noWrap/>
            <w:vAlign w:val="center"/>
            <w:hideMark/>
          </w:tcPr>
          <w:p w14:paraId="71F46B1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596</w:t>
            </w:r>
          </w:p>
        </w:tc>
        <w:tc>
          <w:tcPr>
            <w:tcW w:w="458" w:type="pct"/>
            <w:noWrap/>
            <w:vAlign w:val="center"/>
            <w:hideMark/>
          </w:tcPr>
          <w:p w14:paraId="48BD3D8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29</w:t>
            </w:r>
          </w:p>
        </w:tc>
        <w:tc>
          <w:tcPr>
            <w:tcW w:w="506" w:type="pct"/>
            <w:noWrap/>
            <w:vAlign w:val="center"/>
            <w:hideMark/>
          </w:tcPr>
          <w:p w14:paraId="1EEF2F2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213</w:t>
            </w:r>
          </w:p>
        </w:tc>
        <w:tc>
          <w:tcPr>
            <w:tcW w:w="548" w:type="pct"/>
            <w:noWrap/>
            <w:vAlign w:val="center"/>
            <w:hideMark/>
          </w:tcPr>
          <w:p w14:paraId="58F0B85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94</w:t>
            </w:r>
          </w:p>
        </w:tc>
      </w:tr>
      <w:tr w:rsidR="00626A44" w:rsidRPr="00595D37" w14:paraId="1C65690C"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2653CDED"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780FB25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Del Roble Elementary</w:t>
            </w:r>
          </w:p>
        </w:tc>
        <w:tc>
          <w:tcPr>
            <w:tcW w:w="734" w:type="pct"/>
            <w:noWrap/>
            <w:vAlign w:val="center"/>
            <w:hideMark/>
          </w:tcPr>
          <w:p w14:paraId="0D3AC5F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25</w:t>
            </w:r>
          </w:p>
        </w:tc>
        <w:tc>
          <w:tcPr>
            <w:tcW w:w="780" w:type="pct"/>
            <w:noWrap/>
            <w:vAlign w:val="center"/>
            <w:hideMark/>
          </w:tcPr>
          <w:p w14:paraId="22C9A4D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556</w:t>
            </w:r>
          </w:p>
        </w:tc>
        <w:tc>
          <w:tcPr>
            <w:tcW w:w="458" w:type="pct"/>
            <w:noWrap/>
            <w:vAlign w:val="center"/>
            <w:hideMark/>
          </w:tcPr>
          <w:p w14:paraId="2CC4CB1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19</w:t>
            </w:r>
          </w:p>
        </w:tc>
        <w:tc>
          <w:tcPr>
            <w:tcW w:w="506" w:type="pct"/>
            <w:noWrap/>
            <w:vAlign w:val="center"/>
            <w:hideMark/>
          </w:tcPr>
          <w:p w14:paraId="14AFA05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154</w:t>
            </w:r>
          </w:p>
        </w:tc>
        <w:tc>
          <w:tcPr>
            <w:tcW w:w="548" w:type="pct"/>
            <w:noWrap/>
            <w:vAlign w:val="center"/>
            <w:hideMark/>
          </w:tcPr>
          <w:p w14:paraId="30A7474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39</w:t>
            </w:r>
          </w:p>
        </w:tc>
      </w:tr>
      <w:tr w:rsidR="00626A44" w:rsidRPr="00595D37" w14:paraId="4388D07E"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97BC26E"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1BDEE45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proofErr w:type="spellStart"/>
            <w:r w:rsidRPr="00595D37">
              <w:rPr>
                <w:rFonts w:cs="Arial"/>
                <w:snapToGrid/>
                <w:color w:val="000000"/>
                <w:szCs w:val="24"/>
              </w:rPr>
              <w:t>Edenvale</w:t>
            </w:r>
            <w:proofErr w:type="spellEnd"/>
            <w:r w:rsidRPr="00595D37">
              <w:rPr>
                <w:rFonts w:cs="Arial"/>
                <w:snapToGrid/>
                <w:color w:val="000000"/>
                <w:szCs w:val="24"/>
              </w:rPr>
              <w:t xml:space="preserve"> Elementary</w:t>
            </w:r>
          </w:p>
        </w:tc>
        <w:tc>
          <w:tcPr>
            <w:tcW w:w="734" w:type="pct"/>
            <w:noWrap/>
            <w:vAlign w:val="center"/>
            <w:hideMark/>
          </w:tcPr>
          <w:p w14:paraId="50EA59C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20</w:t>
            </w:r>
          </w:p>
        </w:tc>
        <w:tc>
          <w:tcPr>
            <w:tcW w:w="780" w:type="pct"/>
            <w:noWrap/>
            <w:vAlign w:val="center"/>
            <w:hideMark/>
          </w:tcPr>
          <w:p w14:paraId="498343B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485</w:t>
            </w:r>
          </w:p>
        </w:tc>
        <w:tc>
          <w:tcPr>
            <w:tcW w:w="458" w:type="pct"/>
            <w:noWrap/>
            <w:vAlign w:val="center"/>
            <w:hideMark/>
          </w:tcPr>
          <w:p w14:paraId="4BCAB40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12</w:t>
            </w:r>
          </w:p>
        </w:tc>
        <w:tc>
          <w:tcPr>
            <w:tcW w:w="506" w:type="pct"/>
            <w:noWrap/>
            <w:vAlign w:val="center"/>
            <w:hideMark/>
          </w:tcPr>
          <w:p w14:paraId="3A6A435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305</w:t>
            </w:r>
          </w:p>
        </w:tc>
        <w:tc>
          <w:tcPr>
            <w:tcW w:w="548" w:type="pct"/>
            <w:noWrap/>
            <w:vAlign w:val="center"/>
            <w:hideMark/>
          </w:tcPr>
          <w:p w14:paraId="19A7558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38</w:t>
            </w:r>
          </w:p>
        </w:tc>
      </w:tr>
      <w:tr w:rsidR="00626A44" w:rsidRPr="00595D37" w14:paraId="6A8750BB"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2B3514E"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lastRenderedPageBreak/>
              <w:t>Oak Grove Elementary</w:t>
            </w:r>
          </w:p>
        </w:tc>
        <w:tc>
          <w:tcPr>
            <w:tcW w:w="1059" w:type="pct"/>
            <w:vAlign w:val="center"/>
            <w:hideMark/>
          </w:tcPr>
          <w:p w14:paraId="64430DE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Frost (Earl) Elementary</w:t>
            </w:r>
          </w:p>
        </w:tc>
        <w:tc>
          <w:tcPr>
            <w:tcW w:w="734" w:type="pct"/>
            <w:noWrap/>
            <w:vAlign w:val="center"/>
            <w:hideMark/>
          </w:tcPr>
          <w:p w14:paraId="7B7843F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28</w:t>
            </w:r>
          </w:p>
        </w:tc>
        <w:tc>
          <w:tcPr>
            <w:tcW w:w="780" w:type="pct"/>
            <w:noWrap/>
            <w:vAlign w:val="center"/>
            <w:hideMark/>
          </w:tcPr>
          <w:p w14:paraId="4FD4ECD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638</w:t>
            </w:r>
          </w:p>
        </w:tc>
        <w:tc>
          <w:tcPr>
            <w:tcW w:w="458" w:type="pct"/>
            <w:noWrap/>
            <w:vAlign w:val="center"/>
            <w:hideMark/>
          </w:tcPr>
          <w:p w14:paraId="368DF8D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19</w:t>
            </w:r>
          </w:p>
        </w:tc>
        <w:tc>
          <w:tcPr>
            <w:tcW w:w="506" w:type="pct"/>
            <w:noWrap/>
            <w:vAlign w:val="center"/>
            <w:hideMark/>
          </w:tcPr>
          <w:p w14:paraId="7F907E6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78</w:t>
            </w:r>
          </w:p>
        </w:tc>
        <w:tc>
          <w:tcPr>
            <w:tcW w:w="548" w:type="pct"/>
            <w:noWrap/>
            <w:vAlign w:val="center"/>
            <w:hideMark/>
          </w:tcPr>
          <w:p w14:paraId="654D88D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47</w:t>
            </w:r>
          </w:p>
        </w:tc>
      </w:tr>
      <w:tr w:rsidR="00626A44" w:rsidRPr="00595D37" w14:paraId="17AEF0D1"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643111B7"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4981760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Hayes Elementary</w:t>
            </w:r>
          </w:p>
        </w:tc>
        <w:tc>
          <w:tcPr>
            <w:tcW w:w="734" w:type="pct"/>
            <w:noWrap/>
            <w:vAlign w:val="center"/>
            <w:hideMark/>
          </w:tcPr>
          <w:p w14:paraId="06995DC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25</w:t>
            </w:r>
          </w:p>
        </w:tc>
        <w:tc>
          <w:tcPr>
            <w:tcW w:w="780" w:type="pct"/>
            <w:noWrap/>
            <w:vAlign w:val="center"/>
            <w:hideMark/>
          </w:tcPr>
          <w:p w14:paraId="44B0865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592</w:t>
            </w:r>
          </w:p>
        </w:tc>
        <w:tc>
          <w:tcPr>
            <w:tcW w:w="458" w:type="pct"/>
            <w:noWrap/>
            <w:vAlign w:val="center"/>
            <w:hideMark/>
          </w:tcPr>
          <w:p w14:paraId="431DD38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18</w:t>
            </w:r>
          </w:p>
        </w:tc>
        <w:tc>
          <w:tcPr>
            <w:tcW w:w="506" w:type="pct"/>
            <w:noWrap/>
            <w:vAlign w:val="center"/>
            <w:hideMark/>
          </w:tcPr>
          <w:p w14:paraId="6A47BBE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208</w:t>
            </w:r>
          </w:p>
        </w:tc>
        <w:tc>
          <w:tcPr>
            <w:tcW w:w="548" w:type="pct"/>
            <w:noWrap/>
            <w:vAlign w:val="center"/>
            <w:hideMark/>
          </w:tcPr>
          <w:p w14:paraId="5D01588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58</w:t>
            </w:r>
          </w:p>
        </w:tc>
      </w:tr>
      <w:tr w:rsidR="00626A44" w:rsidRPr="00595D37" w14:paraId="05D4338E" w14:textId="77777777" w:rsidTr="00D31172">
        <w:trPr>
          <w:trHeight w:val="9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2D59425E"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5453CBB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Herman (Leonard) Intermediate</w:t>
            </w:r>
          </w:p>
        </w:tc>
        <w:tc>
          <w:tcPr>
            <w:tcW w:w="734" w:type="pct"/>
            <w:noWrap/>
            <w:vAlign w:val="center"/>
            <w:hideMark/>
          </w:tcPr>
          <w:p w14:paraId="2DBB14D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40</w:t>
            </w:r>
          </w:p>
        </w:tc>
        <w:tc>
          <w:tcPr>
            <w:tcW w:w="780" w:type="pct"/>
            <w:noWrap/>
            <w:vAlign w:val="center"/>
            <w:hideMark/>
          </w:tcPr>
          <w:p w14:paraId="7D1AF1B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871</w:t>
            </w:r>
          </w:p>
        </w:tc>
        <w:tc>
          <w:tcPr>
            <w:tcW w:w="458" w:type="pct"/>
            <w:noWrap/>
            <w:vAlign w:val="center"/>
            <w:hideMark/>
          </w:tcPr>
          <w:p w14:paraId="0DB6E3A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31</w:t>
            </w:r>
          </w:p>
        </w:tc>
        <w:tc>
          <w:tcPr>
            <w:tcW w:w="506" w:type="pct"/>
            <w:noWrap/>
            <w:vAlign w:val="center"/>
            <w:hideMark/>
          </w:tcPr>
          <w:p w14:paraId="3C47402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99</w:t>
            </w:r>
          </w:p>
        </w:tc>
        <w:tc>
          <w:tcPr>
            <w:tcW w:w="548" w:type="pct"/>
            <w:noWrap/>
            <w:vAlign w:val="center"/>
            <w:hideMark/>
          </w:tcPr>
          <w:p w14:paraId="1475CA0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84</w:t>
            </w:r>
          </w:p>
        </w:tc>
      </w:tr>
      <w:tr w:rsidR="00626A44" w:rsidRPr="00595D37" w14:paraId="4C1BBE77"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8CA8D3A"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4D98BE3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Ledesma (Rita) Elementary</w:t>
            </w:r>
          </w:p>
        </w:tc>
        <w:tc>
          <w:tcPr>
            <w:tcW w:w="734" w:type="pct"/>
            <w:noWrap/>
            <w:vAlign w:val="center"/>
            <w:hideMark/>
          </w:tcPr>
          <w:p w14:paraId="77C61D2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w:t>
            </w:r>
          </w:p>
        </w:tc>
        <w:tc>
          <w:tcPr>
            <w:tcW w:w="780" w:type="pct"/>
            <w:noWrap/>
            <w:vAlign w:val="center"/>
            <w:hideMark/>
          </w:tcPr>
          <w:p w14:paraId="0658F42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494</w:t>
            </w:r>
          </w:p>
        </w:tc>
        <w:tc>
          <w:tcPr>
            <w:tcW w:w="458" w:type="pct"/>
            <w:noWrap/>
            <w:vAlign w:val="center"/>
            <w:hideMark/>
          </w:tcPr>
          <w:p w14:paraId="1D9A47D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w:t>
            </w:r>
          </w:p>
        </w:tc>
        <w:tc>
          <w:tcPr>
            <w:tcW w:w="506" w:type="pct"/>
            <w:noWrap/>
            <w:vAlign w:val="center"/>
            <w:hideMark/>
          </w:tcPr>
          <w:p w14:paraId="42C1EEB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89</w:t>
            </w:r>
          </w:p>
        </w:tc>
        <w:tc>
          <w:tcPr>
            <w:tcW w:w="548" w:type="pct"/>
            <w:noWrap/>
            <w:vAlign w:val="center"/>
            <w:hideMark/>
          </w:tcPr>
          <w:p w14:paraId="24F0FCB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32</w:t>
            </w:r>
          </w:p>
        </w:tc>
      </w:tr>
      <w:tr w:rsidR="00626A44" w:rsidRPr="00595D37" w14:paraId="12938094"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5F66A7BB"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003D9C3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Oak Ridge Elementary</w:t>
            </w:r>
          </w:p>
        </w:tc>
        <w:tc>
          <w:tcPr>
            <w:tcW w:w="734" w:type="pct"/>
            <w:noWrap/>
            <w:vAlign w:val="center"/>
            <w:hideMark/>
          </w:tcPr>
          <w:p w14:paraId="569F617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27</w:t>
            </w:r>
          </w:p>
        </w:tc>
        <w:tc>
          <w:tcPr>
            <w:tcW w:w="780" w:type="pct"/>
            <w:noWrap/>
            <w:vAlign w:val="center"/>
            <w:hideMark/>
          </w:tcPr>
          <w:p w14:paraId="3B6B10D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551</w:t>
            </w:r>
          </w:p>
        </w:tc>
        <w:tc>
          <w:tcPr>
            <w:tcW w:w="458" w:type="pct"/>
            <w:noWrap/>
            <w:vAlign w:val="center"/>
            <w:hideMark/>
          </w:tcPr>
          <w:p w14:paraId="1572AF1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18</w:t>
            </w:r>
          </w:p>
        </w:tc>
        <w:tc>
          <w:tcPr>
            <w:tcW w:w="506" w:type="pct"/>
            <w:noWrap/>
            <w:vAlign w:val="center"/>
            <w:hideMark/>
          </w:tcPr>
          <w:p w14:paraId="6BB4307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95</w:t>
            </w:r>
          </w:p>
        </w:tc>
        <w:tc>
          <w:tcPr>
            <w:tcW w:w="548" w:type="pct"/>
            <w:noWrap/>
            <w:vAlign w:val="center"/>
            <w:hideMark/>
          </w:tcPr>
          <w:p w14:paraId="7AB5268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85</w:t>
            </w:r>
          </w:p>
        </w:tc>
      </w:tr>
      <w:tr w:rsidR="00626A44" w:rsidRPr="00595D37" w14:paraId="12031ABB"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FB87386"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2234B9A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Parkview Elementary</w:t>
            </w:r>
          </w:p>
        </w:tc>
        <w:tc>
          <w:tcPr>
            <w:tcW w:w="734" w:type="pct"/>
            <w:noWrap/>
            <w:vAlign w:val="center"/>
            <w:hideMark/>
          </w:tcPr>
          <w:p w14:paraId="5BC299E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27</w:t>
            </w:r>
          </w:p>
        </w:tc>
        <w:tc>
          <w:tcPr>
            <w:tcW w:w="780" w:type="pct"/>
            <w:noWrap/>
            <w:vAlign w:val="center"/>
            <w:hideMark/>
          </w:tcPr>
          <w:p w14:paraId="5396034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579</w:t>
            </w:r>
          </w:p>
        </w:tc>
        <w:tc>
          <w:tcPr>
            <w:tcW w:w="458" w:type="pct"/>
            <w:noWrap/>
            <w:vAlign w:val="center"/>
            <w:hideMark/>
          </w:tcPr>
          <w:p w14:paraId="3D08EA5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39</w:t>
            </w:r>
          </w:p>
        </w:tc>
        <w:tc>
          <w:tcPr>
            <w:tcW w:w="506" w:type="pct"/>
            <w:noWrap/>
            <w:vAlign w:val="center"/>
            <w:hideMark/>
          </w:tcPr>
          <w:p w14:paraId="1A13489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179</w:t>
            </w:r>
          </w:p>
        </w:tc>
        <w:tc>
          <w:tcPr>
            <w:tcW w:w="548" w:type="pct"/>
            <w:noWrap/>
            <w:vAlign w:val="center"/>
            <w:hideMark/>
          </w:tcPr>
          <w:p w14:paraId="70D40CF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62</w:t>
            </w:r>
          </w:p>
        </w:tc>
      </w:tr>
      <w:tr w:rsidR="00626A44" w:rsidRPr="00595D37" w14:paraId="4E3B97B8"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1C254317"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5C8B83F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Sakamoto Elementary</w:t>
            </w:r>
          </w:p>
        </w:tc>
        <w:tc>
          <w:tcPr>
            <w:tcW w:w="734" w:type="pct"/>
            <w:noWrap/>
            <w:vAlign w:val="center"/>
            <w:hideMark/>
          </w:tcPr>
          <w:p w14:paraId="6F51DCC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32</w:t>
            </w:r>
          </w:p>
        </w:tc>
        <w:tc>
          <w:tcPr>
            <w:tcW w:w="780" w:type="pct"/>
            <w:noWrap/>
            <w:vAlign w:val="center"/>
            <w:hideMark/>
          </w:tcPr>
          <w:p w14:paraId="328F1CB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639</w:t>
            </w:r>
          </w:p>
        </w:tc>
        <w:tc>
          <w:tcPr>
            <w:tcW w:w="458" w:type="pct"/>
            <w:noWrap/>
            <w:vAlign w:val="center"/>
            <w:hideMark/>
          </w:tcPr>
          <w:p w14:paraId="374DD70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14</w:t>
            </w:r>
          </w:p>
        </w:tc>
        <w:tc>
          <w:tcPr>
            <w:tcW w:w="506" w:type="pct"/>
            <w:noWrap/>
            <w:vAlign w:val="center"/>
            <w:hideMark/>
          </w:tcPr>
          <w:p w14:paraId="403ED7A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92</w:t>
            </w:r>
          </w:p>
        </w:tc>
        <w:tc>
          <w:tcPr>
            <w:tcW w:w="548" w:type="pct"/>
            <w:noWrap/>
            <w:vAlign w:val="center"/>
            <w:hideMark/>
          </w:tcPr>
          <w:p w14:paraId="45E3C64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89</w:t>
            </w:r>
          </w:p>
        </w:tc>
      </w:tr>
      <w:tr w:rsidR="00626A44" w:rsidRPr="00595D37" w14:paraId="1A42399D"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5F385192"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0E9E452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Santa Teresa Elementary</w:t>
            </w:r>
          </w:p>
        </w:tc>
        <w:tc>
          <w:tcPr>
            <w:tcW w:w="734" w:type="pct"/>
            <w:noWrap/>
            <w:vAlign w:val="center"/>
            <w:hideMark/>
          </w:tcPr>
          <w:p w14:paraId="68D0A1D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30</w:t>
            </w:r>
          </w:p>
        </w:tc>
        <w:tc>
          <w:tcPr>
            <w:tcW w:w="780" w:type="pct"/>
            <w:noWrap/>
            <w:vAlign w:val="center"/>
            <w:hideMark/>
          </w:tcPr>
          <w:p w14:paraId="26DDB4C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623</w:t>
            </w:r>
          </w:p>
        </w:tc>
        <w:tc>
          <w:tcPr>
            <w:tcW w:w="458" w:type="pct"/>
            <w:noWrap/>
            <w:vAlign w:val="center"/>
            <w:hideMark/>
          </w:tcPr>
          <w:p w14:paraId="226D4A4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15</w:t>
            </w:r>
          </w:p>
        </w:tc>
        <w:tc>
          <w:tcPr>
            <w:tcW w:w="506" w:type="pct"/>
            <w:noWrap/>
            <w:vAlign w:val="center"/>
            <w:hideMark/>
          </w:tcPr>
          <w:p w14:paraId="55C755A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127</w:t>
            </w:r>
          </w:p>
        </w:tc>
        <w:tc>
          <w:tcPr>
            <w:tcW w:w="548" w:type="pct"/>
            <w:noWrap/>
            <w:vAlign w:val="center"/>
            <w:hideMark/>
          </w:tcPr>
          <w:p w14:paraId="5B2E4CB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80</w:t>
            </w:r>
          </w:p>
        </w:tc>
      </w:tr>
      <w:tr w:rsidR="00626A44" w:rsidRPr="00595D37" w14:paraId="147F9248"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9A8FECB"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6343ABE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Stipe (Samuel) Elementary</w:t>
            </w:r>
          </w:p>
        </w:tc>
        <w:tc>
          <w:tcPr>
            <w:tcW w:w="734" w:type="pct"/>
            <w:noWrap/>
            <w:vAlign w:val="center"/>
            <w:hideMark/>
          </w:tcPr>
          <w:p w14:paraId="3625B39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20</w:t>
            </w:r>
          </w:p>
        </w:tc>
        <w:tc>
          <w:tcPr>
            <w:tcW w:w="780" w:type="pct"/>
            <w:noWrap/>
            <w:vAlign w:val="center"/>
            <w:hideMark/>
          </w:tcPr>
          <w:p w14:paraId="5F66EA4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423</w:t>
            </w:r>
          </w:p>
        </w:tc>
        <w:tc>
          <w:tcPr>
            <w:tcW w:w="458" w:type="pct"/>
            <w:noWrap/>
            <w:vAlign w:val="center"/>
            <w:hideMark/>
          </w:tcPr>
          <w:p w14:paraId="0A3600B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11</w:t>
            </w:r>
          </w:p>
        </w:tc>
        <w:tc>
          <w:tcPr>
            <w:tcW w:w="506" w:type="pct"/>
            <w:noWrap/>
            <w:vAlign w:val="center"/>
            <w:hideMark/>
          </w:tcPr>
          <w:p w14:paraId="54C5D69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225</w:t>
            </w:r>
          </w:p>
        </w:tc>
        <w:tc>
          <w:tcPr>
            <w:tcW w:w="548" w:type="pct"/>
            <w:noWrap/>
            <w:vAlign w:val="center"/>
            <w:hideMark/>
          </w:tcPr>
          <w:p w14:paraId="44C6AA4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47</w:t>
            </w:r>
          </w:p>
        </w:tc>
      </w:tr>
      <w:tr w:rsidR="00626A44" w:rsidRPr="00595D37" w14:paraId="6556944F"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D1B8CE0"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24F85A7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Taylor (Bertha) Elementary</w:t>
            </w:r>
          </w:p>
        </w:tc>
        <w:tc>
          <w:tcPr>
            <w:tcW w:w="734" w:type="pct"/>
            <w:noWrap/>
            <w:vAlign w:val="center"/>
            <w:hideMark/>
          </w:tcPr>
          <w:p w14:paraId="66B3996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29</w:t>
            </w:r>
          </w:p>
        </w:tc>
        <w:tc>
          <w:tcPr>
            <w:tcW w:w="780" w:type="pct"/>
            <w:noWrap/>
            <w:vAlign w:val="center"/>
            <w:hideMark/>
          </w:tcPr>
          <w:p w14:paraId="13115FF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683</w:t>
            </w:r>
          </w:p>
        </w:tc>
        <w:tc>
          <w:tcPr>
            <w:tcW w:w="458" w:type="pct"/>
            <w:noWrap/>
            <w:vAlign w:val="center"/>
            <w:hideMark/>
          </w:tcPr>
          <w:p w14:paraId="1C9B1BC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15</w:t>
            </w:r>
          </w:p>
        </w:tc>
        <w:tc>
          <w:tcPr>
            <w:tcW w:w="506" w:type="pct"/>
            <w:noWrap/>
            <w:vAlign w:val="center"/>
            <w:hideMark/>
          </w:tcPr>
          <w:p w14:paraId="0585C97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100</w:t>
            </w:r>
          </w:p>
        </w:tc>
        <w:tc>
          <w:tcPr>
            <w:tcW w:w="548" w:type="pct"/>
            <w:noWrap/>
            <w:vAlign w:val="center"/>
            <w:hideMark/>
          </w:tcPr>
          <w:p w14:paraId="788D71E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57</w:t>
            </w:r>
          </w:p>
        </w:tc>
      </w:tr>
      <w:tr w:rsidR="00626A44" w:rsidRPr="00595D37" w14:paraId="59337EDC"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4584974E"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Oak Grove Elementary</w:t>
            </w:r>
          </w:p>
        </w:tc>
        <w:tc>
          <w:tcPr>
            <w:tcW w:w="1059" w:type="pct"/>
            <w:vAlign w:val="center"/>
            <w:hideMark/>
          </w:tcPr>
          <w:p w14:paraId="0AAD67C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The Academy</w:t>
            </w:r>
          </w:p>
        </w:tc>
        <w:tc>
          <w:tcPr>
            <w:tcW w:w="734" w:type="pct"/>
            <w:noWrap/>
            <w:vAlign w:val="center"/>
            <w:hideMark/>
          </w:tcPr>
          <w:p w14:paraId="3973DC7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w:t>
            </w:r>
          </w:p>
        </w:tc>
        <w:tc>
          <w:tcPr>
            <w:tcW w:w="780" w:type="pct"/>
            <w:noWrap/>
            <w:vAlign w:val="center"/>
            <w:hideMark/>
          </w:tcPr>
          <w:p w14:paraId="2CDEB06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458" w:type="pct"/>
            <w:noWrap/>
            <w:vAlign w:val="center"/>
            <w:hideMark/>
          </w:tcPr>
          <w:p w14:paraId="7621549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0</w:t>
            </w:r>
          </w:p>
        </w:tc>
        <w:tc>
          <w:tcPr>
            <w:tcW w:w="506" w:type="pct"/>
            <w:noWrap/>
            <w:vAlign w:val="center"/>
            <w:hideMark/>
          </w:tcPr>
          <w:p w14:paraId="77B6755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0</w:t>
            </w:r>
          </w:p>
        </w:tc>
        <w:tc>
          <w:tcPr>
            <w:tcW w:w="548" w:type="pct"/>
            <w:noWrap/>
            <w:vAlign w:val="center"/>
            <w:hideMark/>
          </w:tcPr>
          <w:p w14:paraId="2DC0D18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w:t>
            </w:r>
          </w:p>
        </w:tc>
      </w:tr>
      <w:tr w:rsidR="00626A44" w:rsidRPr="00595D37" w14:paraId="5390EA56"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noWrap/>
            <w:vAlign w:val="center"/>
            <w:hideMark/>
          </w:tcPr>
          <w:p w14:paraId="2796B50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Orchard Elementary</w:t>
            </w:r>
          </w:p>
        </w:tc>
        <w:tc>
          <w:tcPr>
            <w:tcW w:w="1059" w:type="pct"/>
            <w:vAlign w:val="center"/>
            <w:hideMark/>
          </w:tcPr>
          <w:p w14:paraId="5BACD2F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Orchard Elementary</w:t>
            </w:r>
          </w:p>
        </w:tc>
        <w:tc>
          <w:tcPr>
            <w:tcW w:w="734" w:type="pct"/>
            <w:noWrap/>
            <w:vAlign w:val="center"/>
            <w:hideMark/>
          </w:tcPr>
          <w:p w14:paraId="1025673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bCs/>
                <w:snapToGrid/>
                <w:color w:val="000000"/>
                <w:szCs w:val="24"/>
              </w:rPr>
            </w:pPr>
            <w:r w:rsidRPr="00595D37">
              <w:rPr>
                <w:rFonts w:cs="Arial"/>
                <w:bCs/>
                <w:snapToGrid/>
                <w:color w:val="000000"/>
                <w:szCs w:val="24"/>
              </w:rPr>
              <w:t>40</w:t>
            </w:r>
          </w:p>
        </w:tc>
        <w:tc>
          <w:tcPr>
            <w:tcW w:w="780" w:type="pct"/>
            <w:noWrap/>
            <w:vAlign w:val="center"/>
            <w:hideMark/>
          </w:tcPr>
          <w:p w14:paraId="05F609B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bCs/>
                <w:snapToGrid/>
                <w:color w:val="000000"/>
                <w:szCs w:val="24"/>
              </w:rPr>
            </w:pPr>
            <w:r w:rsidRPr="00595D37">
              <w:rPr>
                <w:rFonts w:cs="Arial"/>
                <w:bCs/>
                <w:snapToGrid/>
                <w:color w:val="000000"/>
                <w:szCs w:val="24"/>
              </w:rPr>
              <w:t>843</w:t>
            </w:r>
          </w:p>
        </w:tc>
        <w:tc>
          <w:tcPr>
            <w:tcW w:w="458" w:type="pct"/>
            <w:noWrap/>
            <w:vAlign w:val="center"/>
            <w:hideMark/>
          </w:tcPr>
          <w:p w14:paraId="4ADE9B2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bCs/>
                <w:snapToGrid/>
                <w:color w:val="000000"/>
                <w:szCs w:val="24"/>
              </w:rPr>
            </w:pPr>
            <w:r w:rsidRPr="00595D37">
              <w:rPr>
                <w:rFonts w:cs="Arial"/>
                <w:bCs/>
                <w:snapToGrid/>
                <w:color w:val="000000"/>
                <w:szCs w:val="24"/>
              </w:rPr>
              <w:t>36</w:t>
            </w:r>
          </w:p>
        </w:tc>
        <w:tc>
          <w:tcPr>
            <w:tcW w:w="506" w:type="pct"/>
            <w:noWrap/>
            <w:vAlign w:val="center"/>
            <w:hideMark/>
          </w:tcPr>
          <w:p w14:paraId="58F3D8F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bCs/>
                <w:snapToGrid/>
                <w:color w:val="000000"/>
                <w:szCs w:val="24"/>
              </w:rPr>
            </w:pPr>
            <w:r w:rsidRPr="00595D37">
              <w:rPr>
                <w:rFonts w:cs="Arial"/>
                <w:bCs/>
                <w:snapToGrid/>
                <w:color w:val="000000"/>
                <w:szCs w:val="24"/>
              </w:rPr>
              <w:t>370</w:t>
            </w:r>
          </w:p>
        </w:tc>
        <w:tc>
          <w:tcPr>
            <w:tcW w:w="548" w:type="pct"/>
            <w:noWrap/>
            <w:vAlign w:val="center"/>
            <w:hideMark/>
          </w:tcPr>
          <w:p w14:paraId="1DD6C6A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bCs/>
                <w:snapToGrid/>
                <w:color w:val="000000"/>
                <w:szCs w:val="24"/>
              </w:rPr>
            </w:pPr>
            <w:r w:rsidRPr="00595D37">
              <w:rPr>
                <w:rFonts w:cs="Arial"/>
                <w:bCs/>
                <w:snapToGrid/>
                <w:color w:val="000000"/>
                <w:szCs w:val="24"/>
              </w:rPr>
              <w:t>48</w:t>
            </w:r>
          </w:p>
        </w:tc>
      </w:tr>
      <w:tr w:rsidR="00626A44" w:rsidRPr="00595D37" w14:paraId="2BD708D6"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97AB902"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Salinas City Elementary</w:t>
            </w:r>
          </w:p>
        </w:tc>
        <w:tc>
          <w:tcPr>
            <w:tcW w:w="1059" w:type="pct"/>
            <w:vAlign w:val="center"/>
            <w:hideMark/>
          </w:tcPr>
          <w:p w14:paraId="741884C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proofErr w:type="spellStart"/>
            <w:r w:rsidRPr="00595D37">
              <w:rPr>
                <w:rFonts w:cs="Arial"/>
                <w:snapToGrid/>
                <w:color w:val="000000"/>
                <w:szCs w:val="24"/>
              </w:rPr>
              <w:t>Boronda</w:t>
            </w:r>
            <w:proofErr w:type="spellEnd"/>
            <w:r w:rsidRPr="00595D37">
              <w:rPr>
                <w:rFonts w:cs="Arial"/>
                <w:snapToGrid/>
                <w:color w:val="000000"/>
                <w:szCs w:val="24"/>
              </w:rPr>
              <w:t xml:space="preserve"> Elementary</w:t>
            </w:r>
          </w:p>
        </w:tc>
        <w:tc>
          <w:tcPr>
            <w:tcW w:w="734" w:type="pct"/>
            <w:noWrap/>
            <w:vAlign w:val="center"/>
            <w:hideMark/>
          </w:tcPr>
          <w:p w14:paraId="6BAA944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w:t>
            </w:r>
          </w:p>
        </w:tc>
        <w:tc>
          <w:tcPr>
            <w:tcW w:w="780" w:type="pct"/>
            <w:noWrap/>
            <w:vAlign w:val="center"/>
            <w:hideMark/>
          </w:tcPr>
          <w:p w14:paraId="0A07DE8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195</w:t>
            </w:r>
          </w:p>
        </w:tc>
        <w:tc>
          <w:tcPr>
            <w:tcW w:w="458" w:type="pct"/>
            <w:noWrap/>
            <w:vAlign w:val="center"/>
            <w:hideMark/>
          </w:tcPr>
          <w:p w14:paraId="6AF0E6C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w:t>
            </w:r>
          </w:p>
        </w:tc>
        <w:tc>
          <w:tcPr>
            <w:tcW w:w="506" w:type="pct"/>
            <w:noWrap/>
            <w:vAlign w:val="center"/>
            <w:hideMark/>
          </w:tcPr>
          <w:p w14:paraId="36D2B5F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89</w:t>
            </w:r>
          </w:p>
        </w:tc>
        <w:tc>
          <w:tcPr>
            <w:tcW w:w="548" w:type="pct"/>
            <w:noWrap/>
            <w:vAlign w:val="center"/>
            <w:hideMark/>
          </w:tcPr>
          <w:p w14:paraId="4C9C863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16</w:t>
            </w:r>
          </w:p>
        </w:tc>
      </w:tr>
      <w:tr w:rsidR="00626A44" w:rsidRPr="00595D37" w14:paraId="56C92002"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37ACD6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Salinas City Elementary</w:t>
            </w:r>
          </w:p>
        </w:tc>
        <w:tc>
          <w:tcPr>
            <w:tcW w:w="1059" w:type="pct"/>
            <w:vAlign w:val="center"/>
            <w:hideMark/>
          </w:tcPr>
          <w:p w14:paraId="4928176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proofErr w:type="spellStart"/>
            <w:r w:rsidRPr="00595D37">
              <w:rPr>
                <w:rFonts w:cs="Arial"/>
                <w:snapToGrid/>
                <w:color w:val="000000"/>
                <w:szCs w:val="24"/>
              </w:rPr>
              <w:t>Boronda</w:t>
            </w:r>
            <w:proofErr w:type="spellEnd"/>
            <w:r w:rsidRPr="00595D37">
              <w:rPr>
                <w:rFonts w:cs="Arial"/>
                <w:snapToGrid/>
                <w:color w:val="000000"/>
                <w:szCs w:val="24"/>
              </w:rPr>
              <w:t xml:space="preserve"> Meadows</w:t>
            </w:r>
          </w:p>
        </w:tc>
        <w:tc>
          <w:tcPr>
            <w:tcW w:w="734" w:type="pct"/>
            <w:noWrap/>
            <w:vAlign w:val="center"/>
            <w:hideMark/>
          </w:tcPr>
          <w:p w14:paraId="2216C2D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33</w:t>
            </w:r>
          </w:p>
        </w:tc>
        <w:tc>
          <w:tcPr>
            <w:tcW w:w="780" w:type="pct"/>
            <w:noWrap/>
            <w:vAlign w:val="center"/>
            <w:hideMark/>
          </w:tcPr>
          <w:p w14:paraId="5E3D14E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726</w:t>
            </w:r>
          </w:p>
        </w:tc>
        <w:tc>
          <w:tcPr>
            <w:tcW w:w="458" w:type="pct"/>
            <w:noWrap/>
            <w:vAlign w:val="center"/>
            <w:hideMark/>
          </w:tcPr>
          <w:p w14:paraId="6857021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w:t>
            </w:r>
          </w:p>
        </w:tc>
        <w:tc>
          <w:tcPr>
            <w:tcW w:w="506" w:type="pct"/>
            <w:noWrap/>
            <w:vAlign w:val="center"/>
            <w:hideMark/>
          </w:tcPr>
          <w:p w14:paraId="6CF7D39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432</w:t>
            </w:r>
          </w:p>
        </w:tc>
        <w:tc>
          <w:tcPr>
            <w:tcW w:w="548" w:type="pct"/>
            <w:noWrap/>
            <w:vAlign w:val="center"/>
            <w:hideMark/>
          </w:tcPr>
          <w:p w14:paraId="7A7E352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76</w:t>
            </w:r>
          </w:p>
        </w:tc>
      </w:tr>
      <w:tr w:rsidR="00626A44" w:rsidRPr="00595D37" w14:paraId="7FC4B4CE"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CDDD1A7"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Salinas City Elementary</w:t>
            </w:r>
          </w:p>
        </w:tc>
        <w:tc>
          <w:tcPr>
            <w:tcW w:w="1059" w:type="pct"/>
            <w:vAlign w:val="center"/>
            <w:hideMark/>
          </w:tcPr>
          <w:p w14:paraId="64C0E73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 xml:space="preserve">El </w:t>
            </w:r>
            <w:proofErr w:type="spellStart"/>
            <w:r w:rsidRPr="00595D37">
              <w:rPr>
                <w:rFonts w:cs="Arial"/>
                <w:snapToGrid/>
                <w:color w:val="000000"/>
                <w:szCs w:val="24"/>
              </w:rPr>
              <w:t>Gabilan</w:t>
            </w:r>
            <w:proofErr w:type="spellEnd"/>
            <w:r w:rsidRPr="00595D37">
              <w:rPr>
                <w:rFonts w:cs="Arial"/>
                <w:snapToGrid/>
                <w:color w:val="000000"/>
                <w:szCs w:val="24"/>
              </w:rPr>
              <w:t xml:space="preserve"> Elementary</w:t>
            </w:r>
          </w:p>
        </w:tc>
        <w:tc>
          <w:tcPr>
            <w:tcW w:w="734" w:type="pct"/>
            <w:noWrap/>
            <w:vAlign w:val="center"/>
            <w:hideMark/>
          </w:tcPr>
          <w:p w14:paraId="5772B9B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31</w:t>
            </w:r>
          </w:p>
        </w:tc>
        <w:tc>
          <w:tcPr>
            <w:tcW w:w="780" w:type="pct"/>
            <w:noWrap/>
            <w:vAlign w:val="center"/>
            <w:hideMark/>
          </w:tcPr>
          <w:p w14:paraId="674A822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687</w:t>
            </w:r>
          </w:p>
        </w:tc>
        <w:tc>
          <w:tcPr>
            <w:tcW w:w="458" w:type="pct"/>
            <w:noWrap/>
            <w:vAlign w:val="center"/>
            <w:hideMark/>
          </w:tcPr>
          <w:p w14:paraId="3071187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w:t>
            </w:r>
          </w:p>
        </w:tc>
        <w:tc>
          <w:tcPr>
            <w:tcW w:w="506" w:type="pct"/>
            <w:noWrap/>
            <w:vAlign w:val="center"/>
            <w:hideMark/>
          </w:tcPr>
          <w:p w14:paraId="7DC493C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407</w:t>
            </w:r>
          </w:p>
        </w:tc>
        <w:tc>
          <w:tcPr>
            <w:tcW w:w="548" w:type="pct"/>
            <w:noWrap/>
            <w:vAlign w:val="center"/>
            <w:hideMark/>
          </w:tcPr>
          <w:p w14:paraId="7967020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62</w:t>
            </w:r>
          </w:p>
        </w:tc>
      </w:tr>
      <w:tr w:rsidR="00626A44" w:rsidRPr="00595D37" w14:paraId="2B8A44DB" w14:textId="77777777" w:rsidTr="00D31172">
        <w:trPr>
          <w:trHeight w:val="9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85937F3"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Salinas City Elementary</w:t>
            </w:r>
          </w:p>
        </w:tc>
        <w:tc>
          <w:tcPr>
            <w:tcW w:w="1059" w:type="pct"/>
            <w:vAlign w:val="center"/>
            <w:hideMark/>
          </w:tcPr>
          <w:p w14:paraId="51C43B8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 xml:space="preserve">Henry F. </w:t>
            </w:r>
            <w:proofErr w:type="spellStart"/>
            <w:r w:rsidRPr="00595D37">
              <w:rPr>
                <w:rFonts w:cs="Arial"/>
                <w:snapToGrid/>
                <w:color w:val="000000"/>
                <w:szCs w:val="24"/>
              </w:rPr>
              <w:t>Kammann</w:t>
            </w:r>
            <w:proofErr w:type="spellEnd"/>
            <w:r w:rsidRPr="00595D37">
              <w:rPr>
                <w:rFonts w:cs="Arial"/>
                <w:snapToGrid/>
                <w:color w:val="000000"/>
                <w:szCs w:val="24"/>
              </w:rPr>
              <w:t xml:space="preserve"> Elementary</w:t>
            </w:r>
          </w:p>
        </w:tc>
        <w:tc>
          <w:tcPr>
            <w:tcW w:w="734" w:type="pct"/>
            <w:noWrap/>
            <w:vAlign w:val="center"/>
            <w:hideMark/>
          </w:tcPr>
          <w:p w14:paraId="702C39C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29</w:t>
            </w:r>
          </w:p>
        </w:tc>
        <w:tc>
          <w:tcPr>
            <w:tcW w:w="780" w:type="pct"/>
            <w:noWrap/>
            <w:vAlign w:val="center"/>
            <w:hideMark/>
          </w:tcPr>
          <w:p w14:paraId="6BB166A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756</w:t>
            </w:r>
          </w:p>
        </w:tc>
        <w:tc>
          <w:tcPr>
            <w:tcW w:w="458" w:type="pct"/>
            <w:noWrap/>
            <w:vAlign w:val="center"/>
            <w:hideMark/>
          </w:tcPr>
          <w:p w14:paraId="0FBCDD8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w:t>
            </w:r>
          </w:p>
        </w:tc>
        <w:tc>
          <w:tcPr>
            <w:tcW w:w="506" w:type="pct"/>
            <w:noWrap/>
            <w:vAlign w:val="center"/>
            <w:hideMark/>
          </w:tcPr>
          <w:p w14:paraId="5B8B666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349</w:t>
            </w:r>
          </w:p>
        </w:tc>
        <w:tc>
          <w:tcPr>
            <w:tcW w:w="548" w:type="pct"/>
            <w:noWrap/>
            <w:vAlign w:val="center"/>
            <w:hideMark/>
          </w:tcPr>
          <w:p w14:paraId="0DE52A0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49</w:t>
            </w:r>
          </w:p>
        </w:tc>
      </w:tr>
      <w:tr w:rsidR="00626A44" w:rsidRPr="00595D37" w14:paraId="3C5E3837"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2805820"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Salinas City Elementary</w:t>
            </w:r>
          </w:p>
        </w:tc>
        <w:tc>
          <w:tcPr>
            <w:tcW w:w="1059" w:type="pct"/>
            <w:vAlign w:val="center"/>
            <w:hideMark/>
          </w:tcPr>
          <w:p w14:paraId="40C1CA4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Laurel Wood Elementary</w:t>
            </w:r>
          </w:p>
        </w:tc>
        <w:tc>
          <w:tcPr>
            <w:tcW w:w="734" w:type="pct"/>
            <w:noWrap/>
            <w:vAlign w:val="center"/>
            <w:hideMark/>
          </w:tcPr>
          <w:p w14:paraId="6579A2A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19</w:t>
            </w:r>
          </w:p>
        </w:tc>
        <w:tc>
          <w:tcPr>
            <w:tcW w:w="780" w:type="pct"/>
            <w:noWrap/>
            <w:vAlign w:val="center"/>
            <w:hideMark/>
          </w:tcPr>
          <w:p w14:paraId="066144C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480</w:t>
            </w:r>
          </w:p>
        </w:tc>
        <w:tc>
          <w:tcPr>
            <w:tcW w:w="458" w:type="pct"/>
            <w:noWrap/>
            <w:vAlign w:val="center"/>
            <w:hideMark/>
          </w:tcPr>
          <w:p w14:paraId="5C990A1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w:t>
            </w:r>
          </w:p>
        </w:tc>
        <w:tc>
          <w:tcPr>
            <w:tcW w:w="506" w:type="pct"/>
            <w:noWrap/>
            <w:vAlign w:val="center"/>
            <w:hideMark/>
          </w:tcPr>
          <w:p w14:paraId="762424B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125</w:t>
            </w:r>
          </w:p>
        </w:tc>
        <w:tc>
          <w:tcPr>
            <w:tcW w:w="548" w:type="pct"/>
            <w:noWrap/>
            <w:vAlign w:val="center"/>
            <w:hideMark/>
          </w:tcPr>
          <w:p w14:paraId="63A1419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38</w:t>
            </w:r>
          </w:p>
        </w:tc>
      </w:tr>
      <w:tr w:rsidR="00626A44" w:rsidRPr="00595D37" w14:paraId="66998C0B"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059F6136"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Salinas City Elementary</w:t>
            </w:r>
          </w:p>
        </w:tc>
        <w:tc>
          <w:tcPr>
            <w:tcW w:w="1059" w:type="pct"/>
            <w:vAlign w:val="center"/>
            <w:hideMark/>
          </w:tcPr>
          <w:p w14:paraId="4E61162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Lincoln Elementary</w:t>
            </w:r>
          </w:p>
        </w:tc>
        <w:tc>
          <w:tcPr>
            <w:tcW w:w="734" w:type="pct"/>
            <w:noWrap/>
            <w:vAlign w:val="center"/>
            <w:hideMark/>
          </w:tcPr>
          <w:p w14:paraId="7D9CBA1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26</w:t>
            </w:r>
          </w:p>
        </w:tc>
        <w:tc>
          <w:tcPr>
            <w:tcW w:w="780" w:type="pct"/>
            <w:noWrap/>
            <w:vAlign w:val="center"/>
            <w:hideMark/>
          </w:tcPr>
          <w:p w14:paraId="009B632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570</w:t>
            </w:r>
          </w:p>
        </w:tc>
        <w:tc>
          <w:tcPr>
            <w:tcW w:w="458" w:type="pct"/>
            <w:noWrap/>
            <w:vAlign w:val="center"/>
            <w:hideMark/>
          </w:tcPr>
          <w:p w14:paraId="64380A4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w:t>
            </w:r>
          </w:p>
        </w:tc>
        <w:tc>
          <w:tcPr>
            <w:tcW w:w="506" w:type="pct"/>
            <w:noWrap/>
            <w:vAlign w:val="center"/>
            <w:hideMark/>
          </w:tcPr>
          <w:p w14:paraId="54EE9B8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168</w:t>
            </w:r>
          </w:p>
        </w:tc>
        <w:tc>
          <w:tcPr>
            <w:tcW w:w="548" w:type="pct"/>
            <w:noWrap/>
            <w:vAlign w:val="center"/>
            <w:hideMark/>
          </w:tcPr>
          <w:p w14:paraId="60D1AAF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44</w:t>
            </w:r>
          </w:p>
        </w:tc>
      </w:tr>
      <w:tr w:rsidR="00626A44" w:rsidRPr="00595D37" w14:paraId="183A33FB"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2B9E5D8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lastRenderedPageBreak/>
              <w:t>Salinas City Elementary</w:t>
            </w:r>
          </w:p>
        </w:tc>
        <w:tc>
          <w:tcPr>
            <w:tcW w:w="1059" w:type="pct"/>
            <w:vAlign w:val="center"/>
            <w:hideMark/>
          </w:tcPr>
          <w:p w14:paraId="75780F7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Loma Vista Elementary</w:t>
            </w:r>
          </w:p>
        </w:tc>
        <w:tc>
          <w:tcPr>
            <w:tcW w:w="734" w:type="pct"/>
            <w:noWrap/>
            <w:vAlign w:val="center"/>
            <w:hideMark/>
          </w:tcPr>
          <w:p w14:paraId="19F5296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24</w:t>
            </w:r>
          </w:p>
        </w:tc>
        <w:tc>
          <w:tcPr>
            <w:tcW w:w="780" w:type="pct"/>
            <w:noWrap/>
            <w:vAlign w:val="center"/>
            <w:hideMark/>
          </w:tcPr>
          <w:p w14:paraId="6D416B7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549</w:t>
            </w:r>
          </w:p>
        </w:tc>
        <w:tc>
          <w:tcPr>
            <w:tcW w:w="458" w:type="pct"/>
            <w:noWrap/>
            <w:vAlign w:val="center"/>
            <w:hideMark/>
          </w:tcPr>
          <w:p w14:paraId="01C3BBE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0</w:t>
            </w:r>
          </w:p>
        </w:tc>
        <w:tc>
          <w:tcPr>
            <w:tcW w:w="506" w:type="pct"/>
            <w:noWrap/>
            <w:vAlign w:val="center"/>
            <w:hideMark/>
          </w:tcPr>
          <w:p w14:paraId="4D0C251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369</w:t>
            </w:r>
          </w:p>
        </w:tc>
        <w:tc>
          <w:tcPr>
            <w:tcW w:w="548" w:type="pct"/>
            <w:noWrap/>
            <w:vAlign w:val="center"/>
            <w:hideMark/>
          </w:tcPr>
          <w:p w14:paraId="65F8E37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46</w:t>
            </w:r>
          </w:p>
        </w:tc>
      </w:tr>
      <w:tr w:rsidR="00626A44" w:rsidRPr="00595D37" w14:paraId="07CA5034"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0BE8D411"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Salinas City Elementary</w:t>
            </w:r>
          </w:p>
        </w:tc>
        <w:tc>
          <w:tcPr>
            <w:tcW w:w="1059" w:type="pct"/>
            <w:vAlign w:val="center"/>
            <w:hideMark/>
          </w:tcPr>
          <w:p w14:paraId="7E1C464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Los Padres Elementary</w:t>
            </w:r>
          </w:p>
        </w:tc>
        <w:tc>
          <w:tcPr>
            <w:tcW w:w="734" w:type="pct"/>
            <w:noWrap/>
            <w:vAlign w:val="center"/>
            <w:hideMark/>
          </w:tcPr>
          <w:p w14:paraId="1DC0CAD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36</w:t>
            </w:r>
          </w:p>
        </w:tc>
        <w:tc>
          <w:tcPr>
            <w:tcW w:w="780" w:type="pct"/>
            <w:noWrap/>
            <w:vAlign w:val="center"/>
            <w:hideMark/>
          </w:tcPr>
          <w:p w14:paraId="0831703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779</w:t>
            </w:r>
          </w:p>
        </w:tc>
        <w:tc>
          <w:tcPr>
            <w:tcW w:w="458" w:type="pct"/>
            <w:noWrap/>
            <w:vAlign w:val="center"/>
            <w:hideMark/>
          </w:tcPr>
          <w:p w14:paraId="6BABDCD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0</w:t>
            </w:r>
          </w:p>
        </w:tc>
        <w:tc>
          <w:tcPr>
            <w:tcW w:w="506" w:type="pct"/>
            <w:noWrap/>
            <w:vAlign w:val="center"/>
            <w:hideMark/>
          </w:tcPr>
          <w:p w14:paraId="3B4396D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529</w:t>
            </w:r>
          </w:p>
        </w:tc>
        <w:tc>
          <w:tcPr>
            <w:tcW w:w="548" w:type="pct"/>
            <w:noWrap/>
            <w:vAlign w:val="center"/>
            <w:hideMark/>
          </w:tcPr>
          <w:p w14:paraId="2AFEB09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74</w:t>
            </w:r>
          </w:p>
        </w:tc>
      </w:tr>
      <w:tr w:rsidR="00626A44" w:rsidRPr="00595D37" w14:paraId="6B208D1E"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7739435"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Salinas City Elementary</w:t>
            </w:r>
          </w:p>
        </w:tc>
        <w:tc>
          <w:tcPr>
            <w:tcW w:w="1059" w:type="pct"/>
            <w:vAlign w:val="center"/>
            <w:hideMark/>
          </w:tcPr>
          <w:p w14:paraId="2809B3B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Mission Park Elementary</w:t>
            </w:r>
          </w:p>
        </w:tc>
        <w:tc>
          <w:tcPr>
            <w:tcW w:w="734" w:type="pct"/>
            <w:noWrap/>
            <w:vAlign w:val="center"/>
            <w:hideMark/>
          </w:tcPr>
          <w:p w14:paraId="1740FE2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26</w:t>
            </w:r>
          </w:p>
        </w:tc>
        <w:tc>
          <w:tcPr>
            <w:tcW w:w="780" w:type="pct"/>
            <w:noWrap/>
            <w:vAlign w:val="center"/>
            <w:hideMark/>
          </w:tcPr>
          <w:p w14:paraId="3362E34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670</w:t>
            </w:r>
          </w:p>
        </w:tc>
        <w:tc>
          <w:tcPr>
            <w:tcW w:w="458" w:type="pct"/>
            <w:noWrap/>
            <w:vAlign w:val="center"/>
            <w:hideMark/>
          </w:tcPr>
          <w:p w14:paraId="73B4FA3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w:t>
            </w:r>
          </w:p>
        </w:tc>
        <w:tc>
          <w:tcPr>
            <w:tcW w:w="506" w:type="pct"/>
            <w:noWrap/>
            <w:vAlign w:val="center"/>
            <w:hideMark/>
          </w:tcPr>
          <w:p w14:paraId="00F02CB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100</w:t>
            </w:r>
          </w:p>
        </w:tc>
        <w:tc>
          <w:tcPr>
            <w:tcW w:w="548" w:type="pct"/>
            <w:noWrap/>
            <w:vAlign w:val="center"/>
            <w:hideMark/>
          </w:tcPr>
          <w:p w14:paraId="18F0DB7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63</w:t>
            </w:r>
          </w:p>
        </w:tc>
      </w:tr>
      <w:tr w:rsidR="00626A44" w:rsidRPr="00595D37" w14:paraId="254F5262"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5AD2AD46"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Salinas City Elementary</w:t>
            </w:r>
          </w:p>
        </w:tc>
        <w:tc>
          <w:tcPr>
            <w:tcW w:w="1059" w:type="pct"/>
            <w:vAlign w:val="center"/>
            <w:hideMark/>
          </w:tcPr>
          <w:p w14:paraId="5F4E31E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Monterey Park Elementary</w:t>
            </w:r>
          </w:p>
        </w:tc>
        <w:tc>
          <w:tcPr>
            <w:tcW w:w="734" w:type="pct"/>
            <w:noWrap/>
            <w:vAlign w:val="center"/>
            <w:hideMark/>
          </w:tcPr>
          <w:p w14:paraId="55DDD5E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26</w:t>
            </w:r>
          </w:p>
        </w:tc>
        <w:tc>
          <w:tcPr>
            <w:tcW w:w="780" w:type="pct"/>
            <w:noWrap/>
            <w:vAlign w:val="center"/>
            <w:hideMark/>
          </w:tcPr>
          <w:p w14:paraId="3A637DA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561</w:t>
            </w:r>
          </w:p>
        </w:tc>
        <w:tc>
          <w:tcPr>
            <w:tcW w:w="458" w:type="pct"/>
            <w:noWrap/>
            <w:vAlign w:val="center"/>
            <w:hideMark/>
          </w:tcPr>
          <w:p w14:paraId="15D7F96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w:t>
            </w:r>
          </w:p>
        </w:tc>
        <w:tc>
          <w:tcPr>
            <w:tcW w:w="506" w:type="pct"/>
            <w:noWrap/>
            <w:vAlign w:val="center"/>
            <w:hideMark/>
          </w:tcPr>
          <w:p w14:paraId="1987FC2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214</w:t>
            </w:r>
          </w:p>
        </w:tc>
        <w:tc>
          <w:tcPr>
            <w:tcW w:w="548" w:type="pct"/>
            <w:noWrap/>
            <w:vAlign w:val="center"/>
            <w:hideMark/>
          </w:tcPr>
          <w:p w14:paraId="10E110D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80</w:t>
            </w:r>
          </w:p>
        </w:tc>
      </w:tr>
      <w:tr w:rsidR="00626A44" w:rsidRPr="00595D37" w14:paraId="182C6BE4"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6F184A5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Salinas City Elementary</w:t>
            </w:r>
          </w:p>
        </w:tc>
        <w:tc>
          <w:tcPr>
            <w:tcW w:w="1059" w:type="pct"/>
            <w:vAlign w:val="center"/>
            <w:hideMark/>
          </w:tcPr>
          <w:p w14:paraId="11EA176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Natividad Elementary</w:t>
            </w:r>
          </w:p>
        </w:tc>
        <w:tc>
          <w:tcPr>
            <w:tcW w:w="734" w:type="pct"/>
            <w:noWrap/>
            <w:vAlign w:val="center"/>
            <w:hideMark/>
          </w:tcPr>
          <w:p w14:paraId="5C8F70E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26</w:t>
            </w:r>
          </w:p>
        </w:tc>
        <w:tc>
          <w:tcPr>
            <w:tcW w:w="780" w:type="pct"/>
            <w:noWrap/>
            <w:vAlign w:val="center"/>
            <w:hideMark/>
          </w:tcPr>
          <w:p w14:paraId="05EB1C2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656</w:t>
            </w:r>
          </w:p>
        </w:tc>
        <w:tc>
          <w:tcPr>
            <w:tcW w:w="458" w:type="pct"/>
            <w:noWrap/>
            <w:vAlign w:val="center"/>
            <w:hideMark/>
          </w:tcPr>
          <w:p w14:paraId="27A3833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w:t>
            </w:r>
          </w:p>
        </w:tc>
        <w:tc>
          <w:tcPr>
            <w:tcW w:w="506" w:type="pct"/>
            <w:noWrap/>
            <w:vAlign w:val="center"/>
            <w:hideMark/>
          </w:tcPr>
          <w:p w14:paraId="46ECE12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437</w:t>
            </w:r>
          </w:p>
        </w:tc>
        <w:tc>
          <w:tcPr>
            <w:tcW w:w="548" w:type="pct"/>
            <w:noWrap/>
            <w:vAlign w:val="center"/>
            <w:hideMark/>
          </w:tcPr>
          <w:p w14:paraId="088602F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42</w:t>
            </w:r>
          </w:p>
        </w:tc>
      </w:tr>
      <w:tr w:rsidR="00626A44" w:rsidRPr="00595D37" w14:paraId="36F878ED"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B33B91B"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Salinas City Elementary</w:t>
            </w:r>
          </w:p>
        </w:tc>
        <w:tc>
          <w:tcPr>
            <w:tcW w:w="1059" w:type="pct"/>
            <w:vAlign w:val="center"/>
            <w:hideMark/>
          </w:tcPr>
          <w:p w14:paraId="0A51324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Roosevelt Elementary</w:t>
            </w:r>
          </w:p>
        </w:tc>
        <w:tc>
          <w:tcPr>
            <w:tcW w:w="734" w:type="pct"/>
            <w:noWrap/>
            <w:vAlign w:val="center"/>
            <w:hideMark/>
          </w:tcPr>
          <w:p w14:paraId="68019B6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25</w:t>
            </w:r>
          </w:p>
        </w:tc>
        <w:tc>
          <w:tcPr>
            <w:tcW w:w="780" w:type="pct"/>
            <w:noWrap/>
            <w:vAlign w:val="center"/>
            <w:hideMark/>
          </w:tcPr>
          <w:p w14:paraId="20B3128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 </w:t>
            </w:r>
            <w:r w:rsidR="00537FA4">
              <w:rPr>
                <w:rFonts w:cs="Arial"/>
                <w:snapToGrid/>
                <w:color w:val="000000"/>
                <w:szCs w:val="24"/>
              </w:rPr>
              <w:t>579</w:t>
            </w:r>
          </w:p>
        </w:tc>
        <w:tc>
          <w:tcPr>
            <w:tcW w:w="458" w:type="pct"/>
            <w:noWrap/>
            <w:vAlign w:val="center"/>
            <w:hideMark/>
          </w:tcPr>
          <w:p w14:paraId="10D9F480" w14:textId="77777777" w:rsidR="00626A44" w:rsidRPr="00595D37" w:rsidRDefault="00537FA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Pr>
                <w:rFonts w:cs="Arial"/>
                <w:snapToGrid/>
                <w:color w:val="000000"/>
                <w:szCs w:val="24"/>
              </w:rPr>
              <w:t>1</w:t>
            </w:r>
            <w:r w:rsidR="00626A44" w:rsidRPr="00595D37">
              <w:rPr>
                <w:rFonts w:cs="Arial"/>
                <w:snapToGrid/>
                <w:color w:val="000000"/>
                <w:szCs w:val="24"/>
              </w:rPr>
              <w:t> </w:t>
            </w:r>
          </w:p>
        </w:tc>
        <w:tc>
          <w:tcPr>
            <w:tcW w:w="506" w:type="pct"/>
            <w:noWrap/>
            <w:vAlign w:val="center"/>
            <w:hideMark/>
          </w:tcPr>
          <w:p w14:paraId="14857BDD" w14:textId="77777777" w:rsidR="00626A44" w:rsidRPr="00595D37" w:rsidRDefault="00537FA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Pr>
                <w:rFonts w:cs="Arial"/>
                <w:snapToGrid/>
                <w:color w:val="000000"/>
                <w:szCs w:val="24"/>
              </w:rPr>
              <w:t>345</w:t>
            </w:r>
          </w:p>
        </w:tc>
        <w:tc>
          <w:tcPr>
            <w:tcW w:w="548" w:type="pct"/>
            <w:noWrap/>
            <w:vAlign w:val="center"/>
            <w:hideMark/>
          </w:tcPr>
          <w:p w14:paraId="5FED8AF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 </w:t>
            </w:r>
            <w:r w:rsidR="00537FA4">
              <w:rPr>
                <w:rFonts w:cs="Arial"/>
                <w:snapToGrid/>
                <w:color w:val="000000"/>
                <w:szCs w:val="24"/>
              </w:rPr>
              <w:t>48</w:t>
            </w:r>
          </w:p>
        </w:tc>
      </w:tr>
      <w:tr w:rsidR="00626A44" w:rsidRPr="00595D37" w14:paraId="1BEF9CA0"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543DE1B"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Salinas City Elementary</w:t>
            </w:r>
          </w:p>
        </w:tc>
        <w:tc>
          <w:tcPr>
            <w:tcW w:w="1059" w:type="pct"/>
            <w:vAlign w:val="center"/>
            <w:hideMark/>
          </w:tcPr>
          <w:p w14:paraId="47ACB2F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Sherwood Elementary</w:t>
            </w:r>
          </w:p>
        </w:tc>
        <w:tc>
          <w:tcPr>
            <w:tcW w:w="734" w:type="pct"/>
            <w:noWrap/>
            <w:vAlign w:val="center"/>
            <w:hideMark/>
          </w:tcPr>
          <w:p w14:paraId="475B4D1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40</w:t>
            </w:r>
          </w:p>
        </w:tc>
        <w:tc>
          <w:tcPr>
            <w:tcW w:w="780" w:type="pct"/>
            <w:noWrap/>
            <w:vAlign w:val="center"/>
            <w:hideMark/>
          </w:tcPr>
          <w:p w14:paraId="14A8E8D0" w14:textId="77777777" w:rsidR="00626A44" w:rsidRPr="00595D37" w:rsidRDefault="00537FA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Pr>
                <w:rFonts w:cs="Arial"/>
                <w:snapToGrid/>
                <w:color w:val="000000"/>
                <w:szCs w:val="24"/>
              </w:rPr>
              <w:t>937</w:t>
            </w:r>
            <w:r w:rsidR="00626A44" w:rsidRPr="00595D37">
              <w:rPr>
                <w:rFonts w:cs="Arial"/>
                <w:snapToGrid/>
                <w:color w:val="000000"/>
                <w:szCs w:val="24"/>
              </w:rPr>
              <w:t> </w:t>
            </w:r>
          </w:p>
        </w:tc>
        <w:tc>
          <w:tcPr>
            <w:tcW w:w="458" w:type="pct"/>
            <w:noWrap/>
            <w:vAlign w:val="center"/>
            <w:hideMark/>
          </w:tcPr>
          <w:p w14:paraId="2EF8204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 </w:t>
            </w:r>
            <w:r w:rsidR="00537FA4">
              <w:rPr>
                <w:rFonts w:cs="Arial"/>
                <w:snapToGrid/>
                <w:color w:val="000000"/>
                <w:szCs w:val="24"/>
              </w:rPr>
              <w:t>3</w:t>
            </w:r>
          </w:p>
        </w:tc>
        <w:tc>
          <w:tcPr>
            <w:tcW w:w="506" w:type="pct"/>
            <w:noWrap/>
            <w:vAlign w:val="center"/>
            <w:hideMark/>
          </w:tcPr>
          <w:p w14:paraId="7FFBC7F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 </w:t>
            </w:r>
            <w:r w:rsidR="00537FA4">
              <w:rPr>
                <w:rFonts w:cs="Arial"/>
                <w:snapToGrid/>
                <w:color w:val="000000"/>
                <w:szCs w:val="24"/>
              </w:rPr>
              <w:t>708</w:t>
            </w:r>
          </w:p>
        </w:tc>
        <w:tc>
          <w:tcPr>
            <w:tcW w:w="548" w:type="pct"/>
            <w:noWrap/>
            <w:vAlign w:val="center"/>
            <w:hideMark/>
          </w:tcPr>
          <w:p w14:paraId="79325B90" w14:textId="77777777" w:rsidR="00626A44" w:rsidRPr="00595D37" w:rsidRDefault="00537FA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Pr>
                <w:rFonts w:cs="Arial"/>
                <w:snapToGrid/>
                <w:color w:val="000000"/>
                <w:szCs w:val="24"/>
              </w:rPr>
              <w:t>76</w:t>
            </w:r>
            <w:r w:rsidR="00626A44" w:rsidRPr="00595D37">
              <w:rPr>
                <w:rFonts w:cs="Arial"/>
                <w:snapToGrid/>
                <w:color w:val="000000"/>
                <w:szCs w:val="24"/>
              </w:rPr>
              <w:t> </w:t>
            </w:r>
          </w:p>
        </w:tc>
      </w:tr>
      <w:tr w:rsidR="00626A44" w:rsidRPr="00595D37" w14:paraId="104911F7"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52585C99"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Salinas City Elementary</w:t>
            </w:r>
          </w:p>
        </w:tc>
        <w:tc>
          <w:tcPr>
            <w:tcW w:w="1059" w:type="pct"/>
            <w:vAlign w:val="center"/>
            <w:hideMark/>
          </w:tcPr>
          <w:p w14:paraId="22E5357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University Park Elementary</w:t>
            </w:r>
          </w:p>
        </w:tc>
        <w:tc>
          <w:tcPr>
            <w:tcW w:w="734" w:type="pct"/>
            <w:noWrap/>
            <w:vAlign w:val="center"/>
            <w:hideMark/>
          </w:tcPr>
          <w:p w14:paraId="4E40246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25</w:t>
            </w:r>
          </w:p>
        </w:tc>
        <w:tc>
          <w:tcPr>
            <w:tcW w:w="780" w:type="pct"/>
            <w:noWrap/>
            <w:vAlign w:val="center"/>
            <w:hideMark/>
          </w:tcPr>
          <w:p w14:paraId="0DC1D3B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 </w:t>
            </w:r>
            <w:r w:rsidR="00537FA4">
              <w:rPr>
                <w:rFonts w:cs="Arial"/>
                <w:snapToGrid/>
                <w:color w:val="000000"/>
                <w:szCs w:val="24"/>
              </w:rPr>
              <w:t>544</w:t>
            </w:r>
          </w:p>
        </w:tc>
        <w:tc>
          <w:tcPr>
            <w:tcW w:w="458" w:type="pct"/>
            <w:noWrap/>
            <w:vAlign w:val="center"/>
            <w:hideMark/>
          </w:tcPr>
          <w:p w14:paraId="5FE4122F" w14:textId="77777777" w:rsidR="00626A44" w:rsidRPr="00595D37" w:rsidRDefault="00537FA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Pr>
                <w:rFonts w:cs="Arial"/>
                <w:snapToGrid/>
                <w:color w:val="000000"/>
                <w:szCs w:val="24"/>
              </w:rPr>
              <w:t>9</w:t>
            </w:r>
            <w:r w:rsidR="00626A44" w:rsidRPr="00595D37">
              <w:rPr>
                <w:rFonts w:cs="Arial"/>
                <w:snapToGrid/>
                <w:color w:val="000000"/>
                <w:szCs w:val="24"/>
              </w:rPr>
              <w:t> </w:t>
            </w:r>
          </w:p>
        </w:tc>
        <w:tc>
          <w:tcPr>
            <w:tcW w:w="506" w:type="pct"/>
            <w:noWrap/>
            <w:vAlign w:val="center"/>
            <w:hideMark/>
          </w:tcPr>
          <w:p w14:paraId="4B9A74D5" w14:textId="77777777" w:rsidR="00626A44" w:rsidRPr="00595D37" w:rsidRDefault="00537FA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Pr>
                <w:rFonts w:cs="Arial"/>
                <w:snapToGrid/>
                <w:color w:val="000000"/>
                <w:szCs w:val="24"/>
              </w:rPr>
              <w:t>180</w:t>
            </w:r>
            <w:r w:rsidR="00626A44" w:rsidRPr="00595D37">
              <w:rPr>
                <w:rFonts w:cs="Arial"/>
                <w:snapToGrid/>
                <w:color w:val="000000"/>
                <w:szCs w:val="24"/>
              </w:rPr>
              <w:t> </w:t>
            </w:r>
          </w:p>
        </w:tc>
        <w:tc>
          <w:tcPr>
            <w:tcW w:w="548" w:type="pct"/>
            <w:noWrap/>
            <w:vAlign w:val="center"/>
            <w:hideMark/>
          </w:tcPr>
          <w:p w14:paraId="7F80EE7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 </w:t>
            </w:r>
            <w:r w:rsidR="00537FA4">
              <w:rPr>
                <w:rFonts w:cs="Arial"/>
                <w:snapToGrid/>
                <w:color w:val="000000"/>
                <w:szCs w:val="24"/>
              </w:rPr>
              <w:t>92</w:t>
            </w:r>
          </w:p>
        </w:tc>
      </w:tr>
      <w:tr w:rsidR="00626A44" w:rsidRPr="00595D37" w14:paraId="300B5E4D"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5E42F630"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49EB77E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Adrian Wilcox High</w:t>
            </w:r>
          </w:p>
        </w:tc>
        <w:tc>
          <w:tcPr>
            <w:tcW w:w="734" w:type="pct"/>
            <w:noWrap/>
            <w:vAlign w:val="center"/>
            <w:hideMark/>
          </w:tcPr>
          <w:p w14:paraId="6963213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93</w:t>
            </w:r>
          </w:p>
        </w:tc>
        <w:tc>
          <w:tcPr>
            <w:tcW w:w="780" w:type="pct"/>
            <w:noWrap/>
            <w:vAlign w:val="center"/>
            <w:hideMark/>
          </w:tcPr>
          <w:p w14:paraId="1AFF494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1,961</w:t>
            </w:r>
          </w:p>
        </w:tc>
        <w:tc>
          <w:tcPr>
            <w:tcW w:w="458" w:type="pct"/>
            <w:noWrap/>
            <w:vAlign w:val="center"/>
            <w:hideMark/>
          </w:tcPr>
          <w:p w14:paraId="4EABD98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35</w:t>
            </w:r>
          </w:p>
        </w:tc>
        <w:tc>
          <w:tcPr>
            <w:tcW w:w="506" w:type="pct"/>
            <w:noWrap/>
            <w:vAlign w:val="center"/>
            <w:hideMark/>
          </w:tcPr>
          <w:p w14:paraId="31C4DF9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306</w:t>
            </w:r>
          </w:p>
        </w:tc>
        <w:tc>
          <w:tcPr>
            <w:tcW w:w="548" w:type="pct"/>
            <w:noWrap/>
            <w:vAlign w:val="center"/>
            <w:hideMark/>
          </w:tcPr>
          <w:p w14:paraId="68C3867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280</w:t>
            </w:r>
          </w:p>
        </w:tc>
      </w:tr>
      <w:tr w:rsidR="00626A44" w:rsidRPr="00595D37" w14:paraId="221E1CB1"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F2D713C"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4D5DECA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Bowers Elementary</w:t>
            </w:r>
          </w:p>
        </w:tc>
        <w:tc>
          <w:tcPr>
            <w:tcW w:w="734" w:type="pct"/>
            <w:noWrap/>
            <w:vAlign w:val="center"/>
            <w:hideMark/>
          </w:tcPr>
          <w:p w14:paraId="274CA50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w:t>
            </w:r>
          </w:p>
        </w:tc>
        <w:tc>
          <w:tcPr>
            <w:tcW w:w="780" w:type="pct"/>
            <w:noWrap/>
            <w:vAlign w:val="center"/>
            <w:hideMark/>
          </w:tcPr>
          <w:p w14:paraId="4264AA2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282</w:t>
            </w:r>
          </w:p>
        </w:tc>
        <w:tc>
          <w:tcPr>
            <w:tcW w:w="458" w:type="pct"/>
            <w:noWrap/>
            <w:vAlign w:val="center"/>
            <w:hideMark/>
          </w:tcPr>
          <w:p w14:paraId="2AE0907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506" w:type="pct"/>
            <w:noWrap/>
            <w:vAlign w:val="center"/>
            <w:hideMark/>
          </w:tcPr>
          <w:p w14:paraId="0413914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124</w:t>
            </w:r>
          </w:p>
        </w:tc>
        <w:tc>
          <w:tcPr>
            <w:tcW w:w="548" w:type="pct"/>
            <w:noWrap/>
            <w:vAlign w:val="center"/>
            <w:hideMark/>
          </w:tcPr>
          <w:p w14:paraId="7DB84AE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34</w:t>
            </w:r>
          </w:p>
        </w:tc>
      </w:tr>
      <w:tr w:rsidR="00626A44" w:rsidRPr="00595D37" w14:paraId="325BD804"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83F828C"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3780234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proofErr w:type="spellStart"/>
            <w:r w:rsidRPr="00595D37">
              <w:rPr>
                <w:rFonts w:cs="Arial"/>
                <w:snapToGrid/>
                <w:color w:val="000000"/>
                <w:szCs w:val="24"/>
              </w:rPr>
              <w:t>Bracher</w:t>
            </w:r>
            <w:proofErr w:type="spellEnd"/>
            <w:r w:rsidRPr="00595D37">
              <w:rPr>
                <w:rFonts w:cs="Arial"/>
                <w:snapToGrid/>
                <w:color w:val="000000"/>
                <w:szCs w:val="24"/>
              </w:rPr>
              <w:t xml:space="preserve"> Elementary</w:t>
            </w:r>
          </w:p>
        </w:tc>
        <w:tc>
          <w:tcPr>
            <w:tcW w:w="734" w:type="pct"/>
            <w:noWrap/>
            <w:vAlign w:val="center"/>
            <w:hideMark/>
          </w:tcPr>
          <w:p w14:paraId="49D7374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12</w:t>
            </w:r>
          </w:p>
        </w:tc>
        <w:tc>
          <w:tcPr>
            <w:tcW w:w="780" w:type="pct"/>
            <w:noWrap/>
            <w:vAlign w:val="center"/>
            <w:hideMark/>
          </w:tcPr>
          <w:p w14:paraId="6070BE1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344</w:t>
            </w:r>
          </w:p>
        </w:tc>
        <w:tc>
          <w:tcPr>
            <w:tcW w:w="458" w:type="pct"/>
            <w:noWrap/>
            <w:vAlign w:val="center"/>
            <w:hideMark/>
          </w:tcPr>
          <w:p w14:paraId="603958A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w:t>
            </w:r>
          </w:p>
        </w:tc>
        <w:tc>
          <w:tcPr>
            <w:tcW w:w="506" w:type="pct"/>
            <w:noWrap/>
            <w:vAlign w:val="center"/>
            <w:hideMark/>
          </w:tcPr>
          <w:p w14:paraId="130A4EB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119</w:t>
            </w:r>
          </w:p>
        </w:tc>
        <w:tc>
          <w:tcPr>
            <w:tcW w:w="548" w:type="pct"/>
            <w:noWrap/>
            <w:vAlign w:val="center"/>
            <w:hideMark/>
          </w:tcPr>
          <w:p w14:paraId="0D7A92B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57</w:t>
            </w:r>
          </w:p>
        </w:tc>
      </w:tr>
      <w:tr w:rsidR="00626A44" w:rsidRPr="00595D37" w14:paraId="5F8DF33B"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087AE141"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6D203F3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proofErr w:type="spellStart"/>
            <w:r w:rsidRPr="00595D37">
              <w:rPr>
                <w:rFonts w:cs="Arial"/>
                <w:snapToGrid/>
                <w:color w:val="000000"/>
                <w:szCs w:val="24"/>
              </w:rPr>
              <w:t>Braly</w:t>
            </w:r>
            <w:proofErr w:type="spellEnd"/>
            <w:r w:rsidRPr="00595D37">
              <w:rPr>
                <w:rFonts w:cs="Arial"/>
                <w:snapToGrid/>
                <w:color w:val="000000"/>
                <w:szCs w:val="24"/>
              </w:rPr>
              <w:t xml:space="preserve"> Elementary</w:t>
            </w:r>
          </w:p>
        </w:tc>
        <w:tc>
          <w:tcPr>
            <w:tcW w:w="734" w:type="pct"/>
            <w:noWrap/>
            <w:vAlign w:val="center"/>
            <w:hideMark/>
          </w:tcPr>
          <w:p w14:paraId="09273C6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20</w:t>
            </w:r>
          </w:p>
        </w:tc>
        <w:tc>
          <w:tcPr>
            <w:tcW w:w="780" w:type="pct"/>
            <w:noWrap/>
            <w:vAlign w:val="center"/>
            <w:hideMark/>
          </w:tcPr>
          <w:p w14:paraId="414570F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391</w:t>
            </w:r>
          </w:p>
        </w:tc>
        <w:tc>
          <w:tcPr>
            <w:tcW w:w="458" w:type="pct"/>
            <w:noWrap/>
            <w:vAlign w:val="center"/>
            <w:hideMark/>
          </w:tcPr>
          <w:p w14:paraId="200BB85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506" w:type="pct"/>
            <w:noWrap/>
            <w:vAlign w:val="center"/>
            <w:hideMark/>
          </w:tcPr>
          <w:p w14:paraId="7CAC41D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190</w:t>
            </w:r>
          </w:p>
        </w:tc>
        <w:tc>
          <w:tcPr>
            <w:tcW w:w="548" w:type="pct"/>
            <w:noWrap/>
            <w:vAlign w:val="center"/>
            <w:hideMark/>
          </w:tcPr>
          <w:p w14:paraId="7767AE1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44</w:t>
            </w:r>
          </w:p>
        </w:tc>
      </w:tr>
      <w:tr w:rsidR="00626A44" w:rsidRPr="00595D37" w14:paraId="4C95CC89"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63B900AA"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4B5B589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Briarwood Elementary</w:t>
            </w:r>
          </w:p>
        </w:tc>
        <w:tc>
          <w:tcPr>
            <w:tcW w:w="734" w:type="pct"/>
            <w:noWrap/>
            <w:vAlign w:val="center"/>
            <w:hideMark/>
          </w:tcPr>
          <w:p w14:paraId="0A637D9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20</w:t>
            </w:r>
          </w:p>
        </w:tc>
        <w:tc>
          <w:tcPr>
            <w:tcW w:w="780" w:type="pct"/>
            <w:noWrap/>
            <w:vAlign w:val="center"/>
            <w:hideMark/>
          </w:tcPr>
          <w:p w14:paraId="25D5DBA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319</w:t>
            </w:r>
          </w:p>
        </w:tc>
        <w:tc>
          <w:tcPr>
            <w:tcW w:w="458" w:type="pct"/>
            <w:noWrap/>
            <w:vAlign w:val="center"/>
            <w:hideMark/>
          </w:tcPr>
          <w:p w14:paraId="1859632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w:t>
            </w:r>
          </w:p>
        </w:tc>
        <w:tc>
          <w:tcPr>
            <w:tcW w:w="506" w:type="pct"/>
            <w:noWrap/>
            <w:vAlign w:val="center"/>
            <w:hideMark/>
          </w:tcPr>
          <w:p w14:paraId="383E7B5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153</w:t>
            </w:r>
          </w:p>
        </w:tc>
        <w:tc>
          <w:tcPr>
            <w:tcW w:w="548" w:type="pct"/>
            <w:noWrap/>
            <w:vAlign w:val="center"/>
            <w:hideMark/>
          </w:tcPr>
          <w:p w14:paraId="500E386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42</w:t>
            </w:r>
          </w:p>
        </w:tc>
      </w:tr>
      <w:tr w:rsidR="00626A44" w:rsidRPr="00595D37" w14:paraId="108F72FA"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29D481CE"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5884941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proofErr w:type="spellStart"/>
            <w:r w:rsidRPr="00595D37">
              <w:rPr>
                <w:rFonts w:cs="Arial"/>
                <w:snapToGrid/>
                <w:color w:val="000000"/>
                <w:szCs w:val="24"/>
              </w:rPr>
              <w:t>Buchser</w:t>
            </w:r>
            <w:proofErr w:type="spellEnd"/>
            <w:r w:rsidRPr="00595D37">
              <w:rPr>
                <w:rFonts w:cs="Arial"/>
                <w:snapToGrid/>
                <w:color w:val="000000"/>
                <w:szCs w:val="24"/>
              </w:rPr>
              <w:t xml:space="preserve"> Middle</w:t>
            </w:r>
          </w:p>
        </w:tc>
        <w:tc>
          <w:tcPr>
            <w:tcW w:w="734" w:type="pct"/>
            <w:noWrap/>
            <w:vAlign w:val="center"/>
            <w:hideMark/>
          </w:tcPr>
          <w:p w14:paraId="7132823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44</w:t>
            </w:r>
          </w:p>
        </w:tc>
        <w:tc>
          <w:tcPr>
            <w:tcW w:w="780" w:type="pct"/>
            <w:noWrap/>
            <w:vAlign w:val="center"/>
            <w:hideMark/>
          </w:tcPr>
          <w:p w14:paraId="39BB1B0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1,011</w:t>
            </w:r>
          </w:p>
        </w:tc>
        <w:tc>
          <w:tcPr>
            <w:tcW w:w="458" w:type="pct"/>
            <w:noWrap/>
            <w:vAlign w:val="center"/>
            <w:hideMark/>
          </w:tcPr>
          <w:p w14:paraId="5A07BBB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37</w:t>
            </w:r>
          </w:p>
        </w:tc>
        <w:tc>
          <w:tcPr>
            <w:tcW w:w="506" w:type="pct"/>
            <w:noWrap/>
            <w:vAlign w:val="center"/>
            <w:hideMark/>
          </w:tcPr>
          <w:p w14:paraId="75B9712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224</w:t>
            </w:r>
          </w:p>
        </w:tc>
        <w:tc>
          <w:tcPr>
            <w:tcW w:w="548" w:type="pct"/>
            <w:noWrap/>
            <w:vAlign w:val="center"/>
            <w:hideMark/>
          </w:tcPr>
          <w:p w14:paraId="6638152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201</w:t>
            </w:r>
          </w:p>
        </w:tc>
      </w:tr>
      <w:tr w:rsidR="00626A44" w:rsidRPr="00595D37" w14:paraId="2B86C82E"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6A3A8815"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62836E5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C. W. Haman Elementary</w:t>
            </w:r>
          </w:p>
        </w:tc>
        <w:tc>
          <w:tcPr>
            <w:tcW w:w="734" w:type="pct"/>
            <w:noWrap/>
            <w:vAlign w:val="center"/>
            <w:hideMark/>
          </w:tcPr>
          <w:p w14:paraId="672DAC5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20</w:t>
            </w:r>
          </w:p>
        </w:tc>
        <w:tc>
          <w:tcPr>
            <w:tcW w:w="780" w:type="pct"/>
            <w:noWrap/>
            <w:vAlign w:val="center"/>
            <w:hideMark/>
          </w:tcPr>
          <w:p w14:paraId="5E3A700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381</w:t>
            </w:r>
          </w:p>
        </w:tc>
        <w:tc>
          <w:tcPr>
            <w:tcW w:w="458" w:type="pct"/>
            <w:noWrap/>
            <w:vAlign w:val="center"/>
            <w:hideMark/>
          </w:tcPr>
          <w:p w14:paraId="02E8D39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w:t>
            </w:r>
          </w:p>
        </w:tc>
        <w:tc>
          <w:tcPr>
            <w:tcW w:w="506" w:type="pct"/>
            <w:noWrap/>
            <w:vAlign w:val="center"/>
            <w:hideMark/>
          </w:tcPr>
          <w:p w14:paraId="390A759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104</w:t>
            </w:r>
          </w:p>
        </w:tc>
        <w:tc>
          <w:tcPr>
            <w:tcW w:w="548" w:type="pct"/>
            <w:noWrap/>
            <w:vAlign w:val="center"/>
            <w:hideMark/>
          </w:tcPr>
          <w:p w14:paraId="614EEA7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73</w:t>
            </w:r>
          </w:p>
        </w:tc>
      </w:tr>
      <w:tr w:rsidR="00626A44" w:rsidRPr="00595D37" w14:paraId="68509378"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6CBA4F78"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4287A8B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Central Park Elementary</w:t>
            </w:r>
          </w:p>
        </w:tc>
        <w:tc>
          <w:tcPr>
            <w:tcW w:w="734" w:type="pct"/>
            <w:noWrap/>
            <w:vAlign w:val="center"/>
            <w:hideMark/>
          </w:tcPr>
          <w:p w14:paraId="6960C46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12</w:t>
            </w:r>
          </w:p>
        </w:tc>
        <w:tc>
          <w:tcPr>
            <w:tcW w:w="780" w:type="pct"/>
            <w:noWrap/>
            <w:vAlign w:val="center"/>
            <w:hideMark/>
          </w:tcPr>
          <w:p w14:paraId="405BA5A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399</w:t>
            </w:r>
          </w:p>
        </w:tc>
        <w:tc>
          <w:tcPr>
            <w:tcW w:w="458" w:type="pct"/>
            <w:noWrap/>
            <w:vAlign w:val="center"/>
            <w:hideMark/>
          </w:tcPr>
          <w:p w14:paraId="16EE78F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506" w:type="pct"/>
            <w:noWrap/>
            <w:vAlign w:val="center"/>
            <w:hideMark/>
          </w:tcPr>
          <w:p w14:paraId="55A292C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105</w:t>
            </w:r>
          </w:p>
        </w:tc>
        <w:tc>
          <w:tcPr>
            <w:tcW w:w="548" w:type="pct"/>
            <w:noWrap/>
            <w:vAlign w:val="center"/>
            <w:hideMark/>
          </w:tcPr>
          <w:p w14:paraId="58E51B2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37</w:t>
            </w:r>
          </w:p>
        </w:tc>
      </w:tr>
      <w:tr w:rsidR="00626A44" w:rsidRPr="00595D37" w14:paraId="3C1BF5E4"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63641AD"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1A8276F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Don Callejon</w:t>
            </w:r>
          </w:p>
        </w:tc>
        <w:tc>
          <w:tcPr>
            <w:tcW w:w="734" w:type="pct"/>
            <w:noWrap/>
            <w:vAlign w:val="center"/>
            <w:hideMark/>
          </w:tcPr>
          <w:p w14:paraId="1A19E76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44</w:t>
            </w:r>
          </w:p>
        </w:tc>
        <w:tc>
          <w:tcPr>
            <w:tcW w:w="780" w:type="pct"/>
            <w:noWrap/>
            <w:vAlign w:val="center"/>
            <w:hideMark/>
          </w:tcPr>
          <w:p w14:paraId="6ECE0FF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912</w:t>
            </w:r>
          </w:p>
        </w:tc>
        <w:tc>
          <w:tcPr>
            <w:tcW w:w="458" w:type="pct"/>
            <w:noWrap/>
            <w:vAlign w:val="center"/>
            <w:hideMark/>
          </w:tcPr>
          <w:p w14:paraId="7247322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41</w:t>
            </w:r>
          </w:p>
        </w:tc>
        <w:tc>
          <w:tcPr>
            <w:tcW w:w="506" w:type="pct"/>
            <w:noWrap/>
            <w:vAlign w:val="center"/>
            <w:hideMark/>
          </w:tcPr>
          <w:p w14:paraId="305BB74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240</w:t>
            </w:r>
          </w:p>
        </w:tc>
        <w:tc>
          <w:tcPr>
            <w:tcW w:w="548" w:type="pct"/>
            <w:noWrap/>
            <w:vAlign w:val="center"/>
            <w:hideMark/>
          </w:tcPr>
          <w:p w14:paraId="499389D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97</w:t>
            </w:r>
          </w:p>
        </w:tc>
      </w:tr>
      <w:tr w:rsidR="00626A44" w:rsidRPr="00595D37" w14:paraId="0EE9DD20"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17B4FE2D"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1587CFB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George Mayne Elementary</w:t>
            </w:r>
          </w:p>
        </w:tc>
        <w:tc>
          <w:tcPr>
            <w:tcW w:w="734" w:type="pct"/>
            <w:noWrap/>
            <w:vAlign w:val="center"/>
            <w:hideMark/>
          </w:tcPr>
          <w:p w14:paraId="1638E21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25</w:t>
            </w:r>
          </w:p>
        </w:tc>
        <w:tc>
          <w:tcPr>
            <w:tcW w:w="780" w:type="pct"/>
            <w:noWrap/>
            <w:vAlign w:val="center"/>
            <w:hideMark/>
          </w:tcPr>
          <w:p w14:paraId="1F459BA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493</w:t>
            </w:r>
          </w:p>
        </w:tc>
        <w:tc>
          <w:tcPr>
            <w:tcW w:w="458" w:type="pct"/>
            <w:noWrap/>
            <w:vAlign w:val="center"/>
            <w:hideMark/>
          </w:tcPr>
          <w:p w14:paraId="4C719B6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w:t>
            </w:r>
          </w:p>
        </w:tc>
        <w:tc>
          <w:tcPr>
            <w:tcW w:w="506" w:type="pct"/>
            <w:noWrap/>
            <w:vAlign w:val="center"/>
            <w:hideMark/>
          </w:tcPr>
          <w:p w14:paraId="3D63A5A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211</w:t>
            </w:r>
          </w:p>
        </w:tc>
        <w:tc>
          <w:tcPr>
            <w:tcW w:w="548" w:type="pct"/>
            <w:noWrap/>
            <w:vAlign w:val="center"/>
            <w:hideMark/>
          </w:tcPr>
          <w:p w14:paraId="32D7768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43</w:t>
            </w:r>
          </w:p>
        </w:tc>
      </w:tr>
      <w:tr w:rsidR="00626A44" w:rsidRPr="00595D37" w14:paraId="121AA002"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CD4D92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4C9CC1A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Juan Cabrillo Middle</w:t>
            </w:r>
          </w:p>
        </w:tc>
        <w:tc>
          <w:tcPr>
            <w:tcW w:w="734" w:type="pct"/>
            <w:noWrap/>
            <w:vAlign w:val="center"/>
            <w:hideMark/>
          </w:tcPr>
          <w:p w14:paraId="34BD2A5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42</w:t>
            </w:r>
          </w:p>
        </w:tc>
        <w:tc>
          <w:tcPr>
            <w:tcW w:w="780" w:type="pct"/>
            <w:noWrap/>
            <w:vAlign w:val="center"/>
            <w:hideMark/>
          </w:tcPr>
          <w:p w14:paraId="580EE25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908</w:t>
            </w:r>
          </w:p>
        </w:tc>
        <w:tc>
          <w:tcPr>
            <w:tcW w:w="458" w:type="pct"/>
            <w:noWrap/>
            <w:vAlign w:val="center"/>
            <w:hideMark/>
          </w:tcPr>
          <w:p w14:paraId="4E0DF20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19</w:t>
            </w:r>
          </w:p>
        </w:tc>
        <w:tc>
          <w:tcPr>
            <w:tcW w:w="506" w:type="pct"/>
            <w:noWrap/>
            <w:vAlign w:val="center"/>
            <w:hideMark/>
          </w:tcPr>
          <w:p w14:paraId="080BE3B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232</w:t>
            </w:r>
          </w:p>
        </w:tc>
        <w:tc>
          <w:tcPr>
            <w:tcW w:w="548" w:type="pct"/>
            <w:noWrap/>
            <w:vAlign w:val="center"/>
            <w:hideMark/>
          </w:tcPr>
          <w:p w14:paraId="4B2CD60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148</w:t>
            </w:r>
          </w:p>
        </w:tc>
      </w:tr>
      <w:tr w:rsidR="00626A44" w:rsidRPr="00595D37" w14:paraId="6174EC7E"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227936A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lastRenderedPageBreak/>
              <w:t>Santa Clara Unified</w:t>
            </w:r>
          </w:p>
        </w:tc>
        <w:tc>
          <w:tcPr>
            <w:tcW w:w="1059" w:type="pct"/>
            <w:vAlign w:val="center"/>
            <w:hideMark/>
          </w:tcPr>
          <w:p w14:paraId="1F3395C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Kathryn Hughes Elementary</w:t>
            </w:r>
          </w:p>
        </w:tc>
        <w:tc>
          <w:tcPr>
            <w:tcW w:w="734" w:type="pct"/>
            <w:noWrap/>
            <w:vAlign w:val="center"/>
            <w:hideMark/>
          </w:tcPr>
          <w:p w14:paraId="190550E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14</w:t>
            </w:r>
          </w:p>
        </w:tc>
        <w:tc>
          <w:tcPr>
            <w:tcW w:w="780" w:type="pct"/>
            <w:noWrap/>
            <w:vAlign w:val="center"/>
            <w:hideMark/>
          </w:tcPr>
          <w:p w14:paraId="7BFD797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407</w:t>
            </w:r>
          </w:p>
        </w:tc>
        <w:tc>
          <w:tcPr>
            <w:tcW w:w="458" w:type="pct"/>
            <w:noWrap/>
            <w:vAlign w:val="center"/>
            <w:hideMark/>
          </w:tcPr>
          <w:p w14:paraId="4628E7D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28</w:t>
            </w:r>
          </w:p>
        </w:tc>
        <w:tc>
          <w:tcPr>
            <w:tcW w:w="506" w:type="pct"/>
            <w:noWrap/>
            <w:vAlign w:val="center"/>
            <w:hideMark/>
          </w:tcPr>
          <w:p w14:paraId="2A535D2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140</w:t>
            </w:r>
          </w:p>
        </w:tc>
        <w:tc>
          <w:tcPr>
            <w:tcW w:w="548" w:type="pct"/>
            <w:noWrap/>
            <w:vAlign w:val="center"/>
            <w:hideMark/>
          </w:tcPr>
          <w:p w14:paraId="5B297B8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62</w:t>
            </w:r>
          </w:p>
        </w:tc>
      </w:tr>
      <w:tr w:rsidR="00626A44" w:rsidRPr="00595D37" w14:paraId="4D4D7C2F"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5DA180AD"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17D2641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Laurelwood Elementary</w:t>
            </w:r>
          </w:p>
        </w:tc>
        <w:tc>
          <w:tcPr>
            <w:tcW w:w="734" w:type="pct"/>
            <w:noWrap/>
            <w:vAlign w:val="center"/>
            <w:hideMark/>
          </w:tcPr>
          <w:p w14:paraId="7D556CE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29</w:t>
            </w:r>
          </w:p>
        </w:tc>
        <w:tc>
          <w:tcPr>
            <w:tcW w:w="780" w:type="pct"/>
            <w:noWrap/>
            <w:vAlign w:val="center"/>
            <w:hideMark/>
          </w:tcPr>
          <w:p w14:paraId="5140223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644</w:t>
            </w:r>
          </w:p>
        </w:tc>
        <w:tc>
          <w:tcPr>
            <w:tcW w:w="458" w:type="pct"/>
            <w:noWrap/>
            <w:vAlign w:val="center"/>
            <w:hideMark/>
          </w:tcPr>
          <w:p w14:paraId="246CEC9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w:t>
            </w:r>
          </w:p>
        </w:tc>
        <w:tc>
          <w:tcPr>
            <w:tcW w:w="506" w:type="pct"/>
            <w:noWrap/>
            <w:vAlign w:val="center"/>
            <w:hideMark/>
          </w:tcPr>
          <w:p w14:paraId="01BD7CE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217</w:t>
            </w:r>
          </w:p>
        </w:tc>
        <w:tc>
          <w:tcPr>
            <w:tcW w:w="548" w:type="pct"/>
            <w:noWrap/>
            <w:vAlign w:val="center"/>
            <w:hideMark/>
          </w:tcPr>
          <w:p w14:paraId="5D6D832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24</w:t>
            </w:r>
          </w:p>
        </w:tc>
      </w:tr>
      <w:tr w:rsidR="00626A44" w:rsidRPr="00595D37" w14:paraId="6499B5DC"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0A20213"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5236551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Marian A. Peterson Middle</w:t>
            </w:r>
          </w:p>
        </w:tc>
        <w:tc>
          <w:tcPr>
            <w:tcW w:w="734" w:type="pct"/>
            <w:noWrap/>
            <w:vAlign w:val="center"/>
            <w:hideMark/>
          </w:tcPr>
          <w:p w14:paraId="096A2F9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41</w:t>
            </w:r>
          </w:p>
        </w:tc>
        <w:tc>
          <w:tcPr>
            <w:tcW w:w="780" w:type="pct"/>
            <w:noWrap/>
            <w:vAlign w:val="center"/>
            <w:hideMark/>
          </w:tcPr>
          <w:p w14:paraId="49AF7E9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908</w:t>
            </w:r>
          </w:p>
        </w:tc>
        <w:tc>
          <w:tcPr>
            <w:tcW w:w="458" w:type="pct"/>
            <w:noWrap/>
            <w:vAlign w:val="center"/>
            <w:hideMark/>
          </w:tcPr>
          <w:p w14:paraId="6C98CB3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15</w:t>
            </w:r>
          </w:p>
        </w:tc>
        <w:tc>
          <w:tcPr>
            <w:tcW w:w="506" w:type="pct"/>
            <w:noWrap/>
            <w:vAlign w:val="center"/>
            <w:hideMark/>
          </w:tcPr>
          <w:p w14:paraId="3CB9AF3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176</w:t>
            </w:r>
          </w:p>
        </w:tc>
        <w:tc>
          <w:tcPr>
            <w:tcW w:w="548" w:type="pct"/>
            <w:noWrap/>
            <w:vAlign w:val="center"/>
            <w:hideMark/>
          </w:tcPr>
          <w:p w14:paraId="3A83928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109</w:t>
            </w:r>
          </w:p>
        </w:tc>
      </w:tr>
      <w:tr w:rsidR="00626A44" w:rsidRPr="00595D37" w14:paraId="48C54396"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7E2B12E"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4EB4200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Millikin Elementary</w:t>
            </w:r>
          </w:p>
        </w:tc>
        <w:tc>
          <w:tcPr>
            <w:tcW w:w="734" w:type="pct"/>
            <w:noWrap/>
            <w:vAlign w:val="center"/>
            <w:hideMark/>
          </w:tcPr>
          <w:p w14:paraId="6F3CAE9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18</w:t>
            </w:r>
          </w:p>
        </w:tc>
        <w:tc>
          <w:tcPr>
            <w:tcW w:w="780" w:type="pct"/>
            <w:noWrap/>
            <w:vAlign w:val="center"/>
            <w:hideMark/>
          </w:tcPr>
          <w:p w14:paraId="0602A3B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558</w:t>
            </w:r>
          </w:p>
        </w:tc>
        <w:tc>
          <w:tcPr>
            <w:tcW w:w="458" w:type="pct"/>
            <w:noWrap/>
            <w:vAlign w:val="center"/>
            <w:hideMark/>
          </w:tcPr>
          <w:p w14:paraId="2E5024D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w:t>
            </w:r>
          </w:p>
        </w:tc>
        <w:tc>
          <w:tcPr>
            <w:tcW w:w="506" w:type="pct"/>
            <w:noWrap/>
            <w:vAlign w:val="center"/>
            <w:hideMark/>
          </w:tcPr>
          <w:p w14:paraId="53A2E34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112</w:t>
            </w:r>
          </w:p>
        </w:tc>
        <w:tc>
          <w:tcPr>
            <w:tcW w:w="548" w:type="pct"/>
            <w:noWrap/>
            <w:vAlign w:val="center"/>
            <w:hideMark/>
          </w:tcPr>
          <w:p w14:paraId="2AF65FC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17</w:t>
            </w:r>
          </w:p>
        </w:tc>
      </w:tr>
      <w:tr w:rsidR="00626A44" w:rsidRPr="00595D37" w14:paraId="1455FEFC"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52BEB9B7"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79E794B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Montague Elementary</w:t>
            </w:r>
          </w:p>
        </w:tc>
        <w:tc>
          <w:tcPr>
            <w:tcW w:w="734" w:type="pct"/>
            <w:noWrap/>
            <w:vAlign w:val="center"/>
            <w:hideMark/>
          </w:tcPr>
          <w:p w14:paraId="44413E9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w:t>
            </w:r>
          </w:p>
        </w:tc>
        <w:tc>
          <w:tcPr>
            <w:tcW w:w="780" w:type="pct"/>
            <w:noWrap/>
            <w:vAlign w:val="center"/>
            <w:hideMark/>
          </w:tcPr>
          <w:p w14:paraId="160C234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426</w:t>
            </w:r>
          </w:p>
        </w:tc>
        <w:tc>
          <w:tcPr>
            <w:tcW w:w="458" w:type="pct"/>
            <w:noWrap/>
            <w:vAlign w:val="center"/>
            <w:hideMark/>
          </w:tcPr>
          <w:p w14:paraId="6AB1C8C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12</w:t>
            </w:r>
          </w:p>
        </w:tc>
        <w:tc>
          <w:tcPr>
            <w:tcW w:w="506" w:type="pct"/>
            <w:noWrap/>
            <w:vAlign w:val="center"/>
            <w:hideMark/>
          </w:tcPr>
          <w:p w14:paraId="417196A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175</w:t>
            </w:r>
          </w:p>
        </w:tc>
        <w:tc>
          <w:tcPr>
            <w:tcW w:w="548" w:type="pct"/>
            <w:noWrap/>
            <w:vAlign w:val="center"/>
            <w:hideMark/>
          </w:tcPr>
          <w:p w14:paraId="3DAC416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65</w:t>
            </w:r>
          </w:p>
        </w:tc>
      </w:tr>
      <w:tr w:rsidR="00626A44" w:rsidRPr="00595D37" w14:paraId="23DEE60D"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4223D8F9"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7447909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New Valley Continuation High</w:t>
            </w:r>
          </w:p>
        </w:tc>
        <w:tc>
          <w:tcPr>
            <w:tcW w:w="734" w:type="pct"/>
            <w:noWrap/>
            <w:vAlign w:val="center"/>
            <w:hideMark/>
          </w:tcPr>
          <w:p w14:paraId="7883ADC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14</w:t>
            </w:r>
          </w:p>
        </w:tc>
        <w:tc>
          <w:tcPr>
            <w:tcW w:w="780" w:type="pct"/>
            <w:noWrap/>
            <w:vAlign w:val="center"/>
            <w:hideMark/>
          </w:tcPr>
          <w:p w14:paraId="6EAF787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127</w:t>
            </w:r>
          </w:p>
        </w:tc>
        <w:tc>
          <w:tcPr>
            <w:tcW w:w="458" w:type="pct"/>
            <w:noWrap/>
            <w:vAlign w:val="center"/>
            <w:hideMark/>
          </w:tcPr>
          <w:p w14:paraId="5CAE970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w:t>
            </w:r>
          </w:p>
        </w:tc>
        <w:tc>
          <w:tcPr>
            <w:tcW w:w="506" w:type="pct"/>
            <w:noWrap/>
            <w:vAlign w:val="center"/>
            <w:hideMark/>
          </w:tcPr>
          <w:p w14:paraId="30E58B6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22</w:t>
            </w:r>
          </w:p>
        </w:tc>
        <w:tc>
          <w:tcPr>
            <w:tcW w:w="548" w:type="pct"/>
            <w:noWrap/>
            <w:vAlign w:val="center"/>
            <w:hideMark/>
          </w:tcPr>
          <w:p w14:paraId="7121419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29</w:t>
            </w:r>
          </w:p>
        </w:tc>
      </w:tr>
      <w:tr w:rsidR="00626A44" w:rsidRPr="00595D37" w14:paraId="14A87EE3"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92C3540"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7003986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Pomeroy Elementary</w:t>
            </w:r>
          </w:p>
        </w:tc>
        <w:tc>
          <w:tcPr>
            <w:tcW w:w="734" w:type="pct"/>
            <w:noWrap/>
            <w:vAlign w:val="center"/>
            <w:hideMark/>
          </w:tcPr>
          <w:p w14:paraId="54F9FA6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w:t>
            </w:r>
          </w:p>
        </w:tc>
        <w:tc>
          <w:tcPr>
            <w:tcW w:w="780" w:type="pct"/>
            <w:noWrap/>
            <w:vAlign w:val="center"/>
            <w:hideMark/>
          </w:tcPr>
          <w:p w14:paraId="15077B8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421</w:t>
            </w:r>
          </w:p>
        </w:tc>
        <w:tc>
          <w:tcPr>
            <w:tcW w:w="458" w:type="pct"/>
            <w:noWrap/>
            <w:vAlign w:val="center"/>
            <w:hideMark/>
          </w:tcPr>
          <w:p w14:paraId="5B1A185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w:t>
            </w:r>
          </w:p>
        </w:tc>
        <w:tc>
          <w:tcPr>
            <w:tcW w:w="506" w:type="pct"/>
            <w:noWrap/>
            <w:vAlign w:val="center"/>
            <w:hideMark/>
          </w:tcPr>
          <w:p w14:paraId="1325CEC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163</w:t>
            </w:r>
          </w:p>
        </w:tc>
        <w:tc>
          <w:tcPr>
            <w:tcW w:w="548" w:type="pct"/>
            <w:noWrap/>
            <w:vAlign w:val="center"/>
            <w:hideMark/>
          </w:tcPr>
          <w:p w14:paraId="2C7B639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85</w:t>
            </w:r>
          </w:p>
        </w:tc>
      </w:tr>
      <w:tr w:rsidR="00626A44" w:rsidRPr="00595D37" w14:paraId="60AB51A8"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1F187494"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083D086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Ponderosa Elementary</w:t>
            </w:r>
          </w:p>
        </w:tc>
        <w:tc>
          <w:tcPr>
            <w:tcW w:w="734" w:type="pct"/>
            <w:noWrap/>
            <w:vAlign w:val="center"/>
            <w:hideMark/>
          </w:tcPr>
          <w:p w14:paraId="2877A7C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33</w:t>
            </w:r>
          </w:p>
        </w:tc>
        <w:tc>
          <w:tcPr>
            <w:tcW w:w="780" w:type="pct"/>
            <w:noWrap/>
            <w:vAlign w:val="center"/>
            <w:hideMark/>
          </w:tcPr>
          <w:p w14:paraId="116BCFF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590</w:t>
            </w:r>
          </w:p>
        </w:tc>
        <w:tc>
          <w:tcPr>
            <w:tcW w:w="458" w:type="pct"/>
            <w:noWrap/>
            <w:vAlign w:val="center"/>
            <w:hideMark/>
          </w:tcPr>
          <w:p w14:paraId="7015EE5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506" w:type="pct"/>
            <w:noWrap/>
            <w:vAlign w:val="center"/>
            <w:hideMark/>
          </w:tcPr>
          <w:p w14:paraId="1464DDD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260</w:t>
            </w:r>
          </w:p>
        </w:tc>
        <w:tc>
          <w:tcPr>
            <w:tcW w:w="548" w:type="pct"/>
            <w:noWrap/>
            <w:vAlign w:val="center"/>
            <w:hideMark/>
          </w:tcPr>
          <w:p w14:paraId="7C9E518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72</w:t>
            </w:r>
          </w:p>
        </w:tc>
      </w:tr>
      <w:tr w:rsidR="00626A44" w:rsidRPr="00595D37" w14:paraId="0958082E"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27688628"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6FEF642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Santa Clara Community Day</w:t>
            </w:r>
          </w:p>
        </w:tc>
        <w:tc>
          <w:tcPr>
            <w:tcW w:w="734" w:type="pct"/>
            <w:noWrap/>
            <w:vAlign w:val="center"/>
            <w:hideMark/>
          </w:tcPr>
          <w:p w14:paraId="4DE1174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w:t>
            </w:r>
          </w:p>
        </w:tc>
        <w:tc>
          <w:tcPr>
            <w:tcW w:w="780" w:type="pct"/>
            <w:noWrap/>
            <w:vAlign w:val="center"/>
            <w:hideMark/>
          </w:tcPr>
          <w:p w14:paraId="4F47288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11</w:t>
            </w:r>
          </w:p>
        </w:tc>
        <w:tc>
          <w:tcPr>
            <w:tcW w:w="458" w:type="pct"/>
            <w:noWrap/>
            <w:vAlign w:val="center"/>
            <w:hideMark/>
          </w:tcPr>
          <w:p w14:paraId="77E9C6A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0</w:t>
            </w:r>
          </w:p>
        </w:tc>
        <w:tc>
          <w:tcPr>
            <w:tcW w:w="506" w:type="pct"/>
            <w:noWrap/>
            <w:vAlign w:val="center"/>
            <w:hideMark/>
          </w:tcPr>
          <w:p w14:paraId="5E772D8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w:t>
            </w:r>
          </w:p>
        </w:tc>
        <w:tc>
          <w:tcPr>
            <w:tcW w:w="548" w:type="pct"/>
            <w:noWrap/>
            <w:vAlign w:val="center"/>
            <w:hideMark/>
          </w:tcPr>
          <w:p w14:paraId="1D19FEF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w:t>
            </w:r>
          </w:p>
        </w:tc>
      </w:tr>
      <w:tr w:rsidR="00626A44" w:rsidRPr="00595D37" w14:paraId="3AC40C6C"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113E7F24"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25A044E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Santa Clara High</w:t>
            </w:r>
          </w:p>
        </w:tc>
        <w:tc>
          <w:tcPr>
            <w:tcW w:w="734" w:type="pct"/>
            <w:noWrap/>
            <w:vAlign w:val="center"/>
            <w:hideMark/>
          </w:tcPr>
          <w:p w14:paraId="1080D81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92</w:t>
            </w:r>
          </w:p>
        </w:tc>
        <w:tc>
          <w:tcPr>
            <w:tcW w:w="780" w:type="pct"/>
            <w:noWrap/>
            <w:vAlign w:val="center"/>
            <w:hideMark/>
          </w:tcPr>
          <w:p w14:paraId="39EED9B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1,967</w:t>
            </w:r>
          </w:p>
        </w:tc>
        <w:tc>
          <w:tcPr>
            <w:tcW w:w="458" w:type="pct"/>
            <w:noWrap/>
            <w:vAlign w:val="center"/>
            <w:hideMark/>
          </w:tcPr>
          <w:p w14:paraId="1B227EB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77</w:t>
            </w:r>
          </w:p>
        </w:tc>
        <w:tc>
          <w:tcPr>
            <w:tcW w:w="506" w:type="pct"/>
            <w:noWrap/>
            <w:vAlign w:val="center"/>
            <w:hideMark/>
          </w:tcPr>
          <w:p w14:paraId="156438C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257</w:t>
            </w:r>
          </w:p>
        </w:tc>
        <w:tc>
          <w:tcPr>
            <w:tcW w:w="548" w:type="pct"/>
            <w:noWrap/>
            <w:vAlign w:val="center"/>
            <w:hideMark/>
          </w:tcPr>
          <w:p w14:paraId="40E20AC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293</w:t>
            </w:r>
          </w:p>
        </w:tc>
      </w:tr>
      <w:tr w:rsidR="00626A44" w:rsidRPr="00595D37" w14:paraId="56FF5B2F"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0E1D5172"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15CA3D7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Scott Lane Elementary</w:t>
            </w:r>
          </w:p>
        </w:tc>
        <w:tc>
          <w:tcPr>
            <w:tcW w:w="734" w:type="pct"/>
            <w:noWrap/>
            <w:vAlign w:val="center"/>
            <w:hideMark/>
          </w:tcPr>
          <w:p w14:paraId="0AA4907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15</w:t>
            </w:r>
          </w:p>
        </w:tc>
        <w:tc>
          <w:tcPr>
            <w:tcW w:w="780" w:type="pct"/>
            <w:noWrap/>
            <w:vAlign w:val="center"/>
            <w:hideMark/>
          </w:tcPr>
          <w:p w14:paraId="6645F7D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368</w:t>
            </w:r>
          </w:p>
        </w:tc>
        <w:tc>
          <w:tcPr>
            <w:tcW w:w="458" w:type="pct"/>
            <w:noWrap/>
            <w:vAlign w:val="center"/>
            <w:hideMark/>
          </w:tcPr>
          <w:p w14:paraId="25420D8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506" w:type="pct"/>
            <w:noWrap/>
            <w:vAlign w:val="center"/>
            <w:hideMark/>
          </w:tcPr>
          <w:p w14:paraId="720E021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265</w:t>
            </w:r>
          </w:p>
        </w:tc>
        <w:tc>
          <w:tcPr>
            <w:tcW w:w="548" w:type="pct"/>
            <w:noWrap/>
            <w:vAlign w:val="center"/>
            <w:hideMark/>
          </w:tcPr>
          <w:p w14:paraId="1E73AEA3"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41</w:t>
            </w:r>
          </w:p>
        </w:tc>
      </w:tr>
      <w:tr w:rsidR="00626A44" w:rsidRPr="00595D37" w14:paraId="5E147D9C"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1D5A0E37"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22E01C4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Sutter Elementary</w:t>
            </w:r>
          </w:p>
        </w:tc>
        <w:tc>
          <w:tcPr>
            <w:tcW w:w="734" w:type="pct"/>
            <w:noWrap/>
            <w:vAlign w:val="center"/>
            <w:hideMark/>
          </w:tcPr>
          <w:p w14:paraId="0AAA013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27</w:t>
            </w:r>
          </w:p>
        </w:tc>
        <w:tc>
          <w:tcPr>
            <w:tcW w:w="780" w:type="pct"/>
            <w:noWrap/>
            <w:vAlign w:val="center"/>
            <w:hideMark/>
          </w:tcPr>
          <w:p w14:paraId="36FDC65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456</w:t>
            </w:r>
          </w:p>
        </w:tc>
        <w:tc>
          <w:tcPr>
            <w:tcW w:w="458" w:type="pct"/>
            <w:noWrap/>
            <w:vAlign w:val="center"/>
            <w:hideMark/>
          </w:tcPr>
          <w:p w14:paraId="40AEE14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w:t>
            </w:r>
          </w:p>
        </w:tc>
        <w:tc>
          <w:tcPr>
            <w:tcW w:w="506" w:type="pct"/>
            <w:noWrap/>
            <w:vAlign w:val="center"/>
            <w:hideMark/>
          </w:tcPr>
          <w:p w14:paraId="100458C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122</w:t>
            </w:r>
          </w:p>
        </w:tc>
        <w:tc>
          <w:tcPr>
            <w:tcW w:w="548" w:type="pct"/>
            <w:noWrap/>
            <w:vAlign w:val="center"/>
            <w:hideMark/>
          </w:tcPr>
          <w:p w14:paraId="11CF705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57</w:t>
            </w:r>
          </w:p>
        </w:tc>
      </w:tr>
      <w:tr w:rsidR="00626A44" w:rsidRPr="00595D37" w14:paraId="59A3088D"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5323ADA0"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1AC8B8C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Washington Open Elementary</w:t>
            </w:r>
          </w:p>
        </w:tc>
        <w:tc>
          <w:tcPr>
            <w:tcW w:w="734" w:type="pct"/>
            <w:noWrap/>
            <w:vAlign w:val="center"/>
            <w:hideMark/>
          </w:tcPr>
          <w:p w14:paraId="21667CF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16</w:t>
            </w:r>
          </w:p>
        </w:tc>
        <w:tc>
          <w:tcPr>
            <w:tcW w:w="780" w:type="pct"/>
            <w:noWrap/>
            <w:vAlign w:val="center"/>
            <w:hideMark/>
          </w:tcPr>
          <w:p w14:paraId="73D5108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331</w:t>
            </w:r>
          </w:p>
        </w:tc>
        <w:tc>
          <w:tcPr>
            <w:tcW w:w="458" w:type="pct"/>
            <w:noWrap/>
            <w:vAlign w:val="center"/>
            <w:hideMark/>
          </w:tcPr>
          <w:p w14:paraId="4FE8147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w:t>
            </w:r>
          </w:p>
        </w:tc>
        <w:tc>
          <w:tcPr>
            <w:tcW w:w="506" w:type="pct"/>
            <w:noWrap/>
            <w:vAlign w:val="center"/>
            <w:hideMark/>
          </w:tcPr>
          <w:p w14:paraId="1565D1C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42</w:t>
            </w:r>
          </w:p>
        </w:tc>
        <w:tc>
          <w:tcPr>
            <w:tcW w:w="548" w:type="pct"/>
            <w:noWrap/>
            <w:vAlign w:val="center"/>
            <w:hideMark/>
          </w:tcPr>
          <w:p w14:paraId="7E2E84A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40</w:t>
            </w:r>
          </w:p>
        </w:tc>
      </w:tr>
      <w:tr w:rsidR="00626A44" w:rsidRPr="00595D37" w14:paraId="67DF616A"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5E8BF0FF"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39A9566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Westwood Elementary</w:t>
            </w:r>
          </w:p>
        </w:tc>
        <w:tc>
          <w:tcPr>
            <w:tcW w:w="734" w:type="pct"/>
            <w:noWrap/>
            <w:vAlign w:val="center"/>
            <w:hideMark/>
          </w:tcPr>
          <w:p w14:paraId="3065941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19</w:t>
            </w:r>
          </w:p>
        </w:tc>
        <w:tc>
          <w:tcPr>
            <w:tcW w:w="780" w:type="pct"/>
            <w:noWrap/>
            <w:vAlign w:val="center"/>
            <w:hideMark/>
          </w:tcPr>
          <w:p w14:paraId="43EF70A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392</w:t>
            </w:r>
          </w:p>
        </w:tc>
        <w:tc>
          <w:tcPr>
            <w:tcW w:w="458" w:type="pct"/>
            <w:noWrap/>
            <w:vAlign w:val="center"/>
            <w:hideMark/>
          </w:tcPr>
          <w:p w14:paraId="53C0996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16</w:t>
            </w:r>
          </w:p>
        </w:tc>
        <w:tc>
          <w:tcPr>
            <w:tcW w:w="506" w:type="pct"/>
            <w:noWrap/>
            <w:vAlign w:val="center"/>
            <w:hideMark/>
          </w:tcPr>
          <w:p w14:paraId="1EC9876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105</w:t>
            </w:r>
          </w:p>
        </w:tc>
        <w:tc>
          <w:tcPr>
            <w:tcW w:w="548" w:type="pct"/>
            <w:noWrap/>
            <w:vAlign w:val="center"/>
            <w:hideMark/>
          </w:tcPr>
          <w:p w14:paraId="345CD18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40</w:t>
            </w:r>
          </w:p>
        </w:tc>
      </w:tr>
      <w:tr w:rsidR="00626A44" w:rsidRPr="00595D37" w14:paraId="472023CA"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7FA907E1" w14:textId="77777777" w:rsidR="00626A44" w:rsidRPr="0011785E" w:rsidRDefault="00626A44" w:rsidP="00511C18">
            <w:pPr>
              <w:widowControl/>
              <w:rPr>
                <w:rFonts w:cs="Arial"/>
                <w:b w:val="0"/>
                <w:snapToGrid/>
                <w:color w:val="000000"/>
                <w:szCs w:val="24"/>
              </w:rPr>
            </w:pPr>
            <w:r w:rsidRPr="0011785E">
              <w:rPr>
                <w:rFonts w:cs="Arial"/>
                <w:b w:val="0"/>
                <w:snapToGrid/>
                <w:color w:val="000000"/>
                <w:szCs w:val="24"/>
              </w:rPr>
              <w:t>Santa Clara Unified</w:t>
            </w:r>
          </w:p>
        </w:tc>
        <w:tc>
          <w:tcPr>
            <w:tcW w:w="1059" w:type="pct"/>
            <w:vAlign w:val="center"/>
            <w:hideMark/>
          </w:tcPr>
          <w:p w14:paraId="12A043E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Wilson Alternative</w:t>
            </w:r>
          </w:p>
        </w:tc>
        <w:tc>
          <w:tcPr>
            <w:tcW w:w="734" w:type="pct"/>
            <w:noWrap/>
            <w:vAlign w:val="center"/>
            <w:hideMark/>
          </w:tcPr>
          <w:p w14:paraId="295A478B"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14</w:t>
            </w:r>
          </w:p>
        </w:tc>
        <w:tc>
          <w:tcPr>
            <w:tcW w:w="780" w:type="pct"/>
            <w:noWrap/>
            <w:vAlign w:val="center"/>
            <w:hideMark/>
          </w:tcPr>
          <w:p w14:paraId="077769A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254</w:t>
            </w:r>
          </w:p>
        </w:tc>
        <w:tc>
          <w:tcPr>
            <w:tcW w:w="458" w:type="pct"/>
            <w:noWrap/>
            <w:vAlign w:val="center"/>
            <w:hideMark/>
          </w:tcPr>
          <w:p w14:paraId="0B1DE4F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13</w:t>
            </w:r>
          </w:p>
        </w:tc>
        <w:tc>
          <w:tcPr>
            <w:tcW w:w="506" w:type="pct"/>
            <w:noWrap/>
            <w:vAlign w:val="center"/>
            <w:hideMark/>
          </w:tcPr>
          <w:p w14:paraId="14E4DC4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47</w:t>
            </w:r>
          </w:p>
        </w:tc>
        <w:tc>
          <w:tcPr>
            <w:tcW w:w="548" w:type="pct"/>
            <w:noWrap/>
            <w:vAlign w:val="center"/>
            <w:hideMark/>
          </w:tcPr>
          <w:p w14:paraId="2AE24FE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82</w:t>
            </w:r>
          </w:p>
        </w:tc>
      </w:tr>
      <w:tr w:rsidR="00626A44" w:rsidRPr="00595D37" w14:paraId="55A47DA3"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3709D22D" w14:textId="77777777" w:rsidR="00626A44" w:rsidRPr="0011785E" w:rsidRDefault="006B0994" w:rsidP="00511C18">
            <w:pPr>
              <w:widowControl/>
              <w:rPr>
                <w:rFonts w:cs="Arial"/>
                <w:b w:val="0"/>
                <w:snapToGrid/>
                <w:color w:val="000000"/>
                <w:szCs w:val="24"/>
              </w:rPr>
            </w:pPr>
            <w:r>
              <w:rPr>
                <w:rFonts w:cs="Arial"/>
                <w:b w:val="0"/>
                <w:snapToGrid/>
                <w:color w:val="000000"/>
                <w:szCs w:val="24"/>
              </w:rPr>
              <w:t>Soledad Unified</w:t>
            </w:r>
          </w:p>
        </w:tc>
        <w:tc>
          <w:tcPr>
            <w:tcW w:w="1059" w:type="pct"/>
            <w:vAlign w:val="center"/>
            <w:hideMark/>
          </w:tcPr>
          <w:p w14:paraId="0ED0E15E"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Frank Ledesma Elementary</w:t>
            </w:r>
          </w:p>
        </w:tc>
        <w:tc>
          <w:tcPr>
            <w:tcW w:w="734" w:type="pct"/>
            <w:noWrap/>
            <w:vAlign w:val="center"/>
            <w:hideMark/>
          </w:tcPr>
          <w:p w14:paraId="7E627E8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25</w:t>
            </w:r>
          </w:p>
        </w:tc>
        <w:tc>
          <w:tcPr>
            <w:tcW w:w="780" w:type="pct"/>
            <w:noWrap/>
            <w:vAlign w:val="center"/>
            <w:hideMark/>
          </w:tcPr>
          <w:p w14:paraId="239D07C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542</w:t>
            </w:r>
          </w:p>
        </w:tc>
        <w:tc>
          <w:tcPr>
            <w:tcW w:w="458" w:type="pct"/>
            <w:noWrap/>
            <w:vAlign w:val="center"/>
            <w:hideMark/>
          </w:tcPr>
          <w:p w14:paraId="5A3FB47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w:t>
            </w:r>
          </w:p>
        </w:tc>
        <w:tc>
          <w:tcPr>
            <w:tcW w:w="506" w:type="pct"/>
            <w:noWrap/>
            <w:vAlign w:val="center"/>
            <w:hideMark/>
          </w:tcPr>
          <w:p w14:paraId="58FAC69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241</w:t>
            </w:r>
          </w:p>
        </w:tc>
        <w:tc>
          <w:tcPr>
            <w:tcW w:w="548" w:type="pct"/>
            <w:noWrap/>
            <w:vAlign w:val="center"/>
            <w:hideMark/>
          </w:tcPr>
          <w:p w14:paraId="27A08F4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53</w:t>
            </w:r>
          </w:p>
        </w:tc>
      </w:tr>
      <w:tr w:rsidR="00626A44" w:rsidRPr="00595D37" w14:paraId="0E3F0F52"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tcPr>
          <w:p w14:paraId="2274CBEE" w14:textId="77777777" w:rsidR="00626A44" w:rsidRPr="0011785E" w:rsidRDefault="006B0994" w:rsidP="00511C18">
            <w:pPr>
              <w:widowControl/>
              <w:rPr>
                <w:rFonts w:cs="Arial"/>
                <w:b w:val="0"/>
                <w:snapToGrid/>
                <w:color w:val="000000"/>
                <w:szCs w:val="24"/>
              </w:rPr>
            </w:pPr>
            <w:r>
              <w:rPr>
                <w:rFonts w:cs="Arial"/>
                <w:b w:val="0"/>
                <w:snapToGrid/>
                <w:color w:val="000000"/>
                <w:szCs w:val="24"/>
              </w:rPr>
              <w:t>Soledad Unified</w:t>
            </w:r>
          </w:p>
        </w:tc>
        <w:tc>
          <w:tcPr>
            <w:tcW w:w="1059" w:type="pct"/>
            <w:vAlign w:val="center"/>
            <w:hideMark/>
          </w:tcPr>
          <w:p w14:paraId="75C02AA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proofErr w:type="spellStart"/>
            <w:r w:rsidRPr="00595D37">
              <w:rPr>
                <w:rFonts w:cs="Arial"/>
                <w:snapToGrid/>
                <w:color w:val="000000"/>
                <w:szCs w:val="24"/>
              </w:rPr>
              <w:t>Gabilan</w:t>
            </w:r>
            <w:proofErr w:type="spellEnd"/>
            <w:r w:rsidRPr="00595D37">
              <w:rPr>
                <w:rFonts w:cs="Arial"/>
                <w:snapToGrid/>
                <w:color w:val="000000"/>
                <w:szCs w:val="24"/>
              </w:rPr>
              <w:t xml:space="preserve"> Elementary</w:t>
            </w:r>
          </w:p>
        </w:tc>
        <w:tc>
          <w:tcPr>
            <w:tcW w:w="734" w:type="pct"/>
            <w:noWrap/>
            <w:vAlign w:val="center"/>
            <w:hideMark/>
          </w:tcPr>
          <w:p w14:paraId="6830FD3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21</w:t>
            </w:r>
          </w:p>
        </w:tc>
        <w:tc>
          <w:tcPr>
            <w:tcW w:w="780" w:type="pct"/>
            <w:noWrap/>
            <w:vAlign w:val="center"/>
            <w:hideMark/>
          </w:tcPr>
          <w:p w14:paraId="3A6E276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465</w:t>
            </w:r>
          </w:p>
        </w:tc>
        <w:tc>
          <w:tcPr>
            <w:tcW w:w="458" w:type="pct"/>
            <w:noWrap/>
            <w:vAlign w:val="center"/>
            <w:hideMark/>
          </w:tcPr>
          <w:p w14:paraId="2EE9814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0</w:t>
            </w:r>
          </w:p>
        </w:tc>
        <w:tc>
          <w:tcPr>
            <w:tcW w:w="506" w:type="pct"/>
            <w:noWrap/>
            <w:vAlign w:val="center"/>
            <w:hideMark/>
          </w:tcPr>
          <w:p w14:paraId="4F10DD0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256</w:t>
            </w:r>
          </w:p>
        </w:tc>
        <w:tc>
          <w:tcPr>
            <w:tcW w:w="548" w:type="pct"/>
            <w:noWrap/>
            <w:vAlign w:val="center"/>
            <w:hideMark/>
          </w:tcPr>
          <w:p w14:paraId="54FD234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70</w:t>
            </w:r>
          </w:p>
        </w:tc>
      </w:tr>
      <w:tr w:rsidR="00626A44" w:rsidRPr="00595D37" w14:paraId="3DCE8724"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tcPr>
          <w:p w14:paraId="243B7CEE" w14:textId="77777777" w:rsidR="00626A44" w:rsidRPr="0011785E" w:rsidRDefault="006B0994" w:rsidP="00511C18">
            <w:pPr>
              <w:widowControl/>
              <w:rPr>
                <w:rFonts w:cs="Arial"/>
                <w:b w:val="0"/>
                <w:snapToGrid/>
                <w:color w:val="000000"/>
                <w:szCs w:val="24"/>
              </w:rPr>
            </w:pPr>
            <w:r>
              <w:rPr>
                <w:rFonts w:cs="Arial"/>
                <w:b w:val="0"/>
                <w:snapToGrid/>
                <w:color w:val="000000"/>
                <w:szCs w:val="24"/>
              </w:rPr>
              <w:t>Soledad Unified</w:t>
            </w:r>
          </w:p>
        </w:tc>
        <w:tc>
          <w:tcPr>
            <w:tcW w:w="1059" w:type="pct"/>
            <w:vAlign w:val="center"/>
            <w:hideMark/>
          </w:tcPr>
          <w:p w14:paraId="19347C8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 xml:space="preserve">Jack </w:t>
            </w:r>
            <w:proofErr w:type="spellStart"/>
            <w:r w:rsidRPr="00595D37">
              <w:rPr>
                <w:rFonts w:cs="Arial"/>
                <w:snapToGrid/>
                <w:color w:val="000000"/>
                <w:szCs w:val="24"/>
              </w:rPr>
              <w:t>Franscioni</w:t>
            </w:r>
            <w:proofErr w:type="spellEnd"/>
            <w:r w:rsidRPr="00595D37">
              <w:rPr>
                <w:rFonts w:cs="Arial"/>
                <w:snapToGrid/>
                <w:color w:val="000000"/>
                <w:szCs w:val="24"/>
              </w:rPr>
              <w:t xml:space="preserve"> Elementary</w:t>
            </w:r>
          </w:p>
        </w:tc>
        <w:tc>
          <w:tcPr>
            <w:tcW w:w="734" w:type="pct"/>
            <w:noWrap/>
            <w:vAlign w:val="center"/>
            <w:hideMark/>
          </w:tcPr>
          <w:p w14:paraId="0D99CDCA"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29</w:t>
            </w:r>
          </w:p>
        </w:tc>
        <w:tc>
          <w:tcPr>
            <w:tcW w:w="780" w:type="pct"/>
            <w:noWrap/>
            <w:vAlign w:val="center"/>
            <w:hideMark/>
          </w:tcPr>
          <w:p w14:paraId="60787F3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571</w:t>
            </w:r>
          </w:p>
        </w:tc>
        <w:tc>
          <w:tcPr>
            <w:tcW w:w="458" w:type="pct"/>
            <w:noWrap/>
            <w:vAlign w:val="center"/>
            <w:hideMark/>
          </w:tcPr>
          <w:p w14:paraId="09B47F9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w:t>
            </w:r>
          </w:p>
        </w:tc>
        <w:tc>
          <w:tcPr>
            <w:tcW w:w="506" w:type="pct"/>
            <w:noWrap/>
            <w:vAlign w:val="center"/>
            <w:hideMark/>
          </w:tcPr>
          <w:p w14:paraId="6C8EFF2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249</w:t>
            </w:r>
          </w:p>
        </w:tc>
        <w:tc>
          <w:tcPr>
            <w:tcW w:w="548" w:type="pct"/>
            <w:noWrap/>
            <w:vAlign w:val="center"/>
            <w:hideMark/>
          </w:tcPr>
          <w:p w14:paraId="44DF18F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104</w:t>
            </w:r>
          </w:p>
        </w:tc>
      </w:tr>
      <w:tr w:rsidR="00626A44" w:rsidRPr="00595D37" w14:paraId="1EC5DD3A"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tcPr>
          <w:p w14:paraId="372332C4" w14:textId="77777777" w:rsidR="00626A44" w:rsidRPr="0011785E" w:rsidRDefault="006B0994" w:rsidP="00511C18">
            <w:pPr>
              <w:widowControl/>
              <w:rPr>
                <w:rFonts w:cs="Arial"/>
                <w:b w:val="0"/>
                <w:snapToGrid/>
                <w:color w:val="000000"/>
                <w:szCs w:val="24"/>
              </w:rPr>
            </w:pPr>
            <w:r>
              <w:rPr>
                <w:rFonts w:cs="Arial"/>
                <w:b w:val="0"/>
                <w:snapToGrid/>
                <w:color w:val="000000"/>
                <w:szCs w:val="24"/>
              </w:rPr>
              <w:lastRenderedPageBreak/>
              <w:t>Soledad Unified</w:t>
            </w:r>
          </w:p>
        </w:tc>
        <w:tc>
          <w:tcPr>
            <w:tcW w:w="1059" w:type="pct"/>
            <w:vAlign w:val="center"/>
            <w:hideMark/>
          </w:tcPr>
          <w:p w14:paraId="5C5F560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Main Street Middle</w:t>
            </w:r>
          </w:p>
        </w:tc>
        <w:tc>
          <w:tcPr>
            <w:tcW w:w="734" w:type="pct"/>
            <w:noWrap/>
            <w:vAlign w:val="center"/>
            <w:hideMark/>
          </w:tcPr>
          <w:p w14:paraId="5073452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36</w:t>
            </w:r>
          </w:p>
        </w:tc>
        <w:tc>
          <w:tcPr>
            <w:tcW w:w="780" w:type="pct"/>
            <w:noWrap/>
            <w:vAlign w:val="center"/>
            <w:hideMark/>
          </w:tcPr>
          <w:p w14:paraId="7131768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795</w:t>
            </w:r>
          </w:p>
        </w:tc>
        <w:tc>
          <w:tcPr>
            <w:tcW w:w="458" w:type="pct"/>
            <w:noWrap/>
            <w:vAlign w:val="center"/>
            <w:hideMark/>
          </w:tcPr>
          <w:p w14:paraId="119D3F89"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w:t>
            </w:r>
          </w:p>
        </w:tc>
        <w:tc>
          <w:tcPr>
            <w:tcW w:w="506" w:type="pct"/>
            <w:noWrap/>
            <w:vAlign w:val="center"/>
            <w:hideMark/>
          </w:tcPr>
          <w:p w14:paraId="589B359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140</w:t>
            </w:r>
          </w:p>
        </w:tc>
        <w:tc>
          <w:tcPr>
            <w:tcW w:w="548" w:type="pct"/>
            <w:noWrap/>
            <w:vAlign w:val="center"/>
            <w:hideMark/>
          </w:tcPr>
          <w:p w14:paraId="5565003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115</w:t>
            </w:r>
          </w:p>
        </w:tc>
      </w:tr>
      <w:tr w:rsidR="00626A44" w:rsidRPr="00595D37" w14:paraId="36F4F998"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tcPr>
          <w:p w14:paraId="27C4CA18" w14:textId="77777777" w:rsidR="00626A44" w:rsidRPr="0011785E" w:rsidRDefault="006B0994" w:rsidP="00511C18">
            <w:pPr>
              <w:widowControl/>
              <w:rPr>
                <w:rFonts w:cs="Arial"/>
                <w:b w:val="0"/>
                <w:snapToGrid/>
                <w:color w:val="000000"/>
                <w:szCs w:val="24"/>
              </w:rPr>
            </w:pPr>
            <w:r>
              <w:rPr>
                <w:rFonts w:cs="Arial"/>
                <w:b w:val="0"/>
                <w:snapToGrid/>
                <w:color w:val="000000"/>
                <w:szCs w:val="24"/>
              </w:rPr>
              <w:t>Soledad Unified</w:t>
            </w:r>
          </w:p>
        </w:tc>
        <w:tc>
          <w:tcPr>
            <w:tcW w:w="1059" w:type="pct"/>
            <w:vAlign w:val="center"/>
            <w:hideMark/>
          </w:tcPr>
          <w:p w14:paraId="4389D442"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Pinnacles High</w:t>
            </w:r>
          </w:p>
        </w:tc>
        <w:tc>
          <w:tcPr>
            <w:tcW w:w="734" w:type="pct"/>
            <w:noWrap/>
            <w:vAlign w:val="center"/>
            <w:hideMark/>
          </w:tcPr>
          <w:p w14:paraId="19A0C42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w:t>
            </w:r>
          </w:p>
        </w:tc>
        <w:tc>
          <w:tcPr>
            <w:tcW w:w="780" w:type="pct"/>
            <w:noWrap/>
            <w:vAlign w:val="center"/>
            <w:hideMark/>
          </w:tcPr>
          <w:p w14:paraId="47915C9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44</w:t>
            </w:r>
          </w:p>
        </w:tc>
        <w:tc>
          <w:tcPr>
            <w:tcW w:w="458" w:type="pct"/>
            <w:noWrap/>
            <w:vAlign w:val="center"/>
            <w:hideMark/>
          </w:tcPr>
          <w:p w14:paraId="2E99D99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0</w:t>
            </w:r>
          </w:p>
        </w:tc>
        <w:tc>
          <w:tcPr>
            <w:tcW w:w="506" w:type="pct"/>
            <w:noWrap/>
            <w:vAlign w:val="center"/>
            <w:hideMark/>
          </w:tcPr>
          <w:p w14:paraId="5F3D02F7"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9</w:t>
            </w:r>
          </w:p>
        </w:tc>
        <w:tc>
          <w:tcPr>
            <w:tcW w:w="548" w:type="pct"/>
            <w:noWrap/>
            <w:vAlign w:val="center"/>
            <w:hideMark/>
          </w:tcPr>
          <w:p w14:paraId="42A7B5C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w:t>
            </w:r>
          </w:p>
        </w:tc>
      </w:tr>
      <w:tr w:rsidR="00626A44" w:rsidRPr="00595D37" w14:paraId="2A212D77"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tcPr>
          <w:p w14:paraId="6F180A71" w14:textId="77777777" w:rsidR="00626A44" w:rsidRPr="0011785E" w:rsidRDefault="006B0994" w:rsidP="00511C18">
            <w:pPr>
              <w:widowControl/>
              <w:rPr>
                <w:rFonts w:cs="Arial"/>
                <w:b w:val="0"/>
                <w:snapToGrid/>
                <w:color w:val="000000"/>
                <w:szCs w:val="24"/>
              </w:rPr>
            </w:pPr>
            <w:r>
              <w:rPr>
                <w:rFonts w:cs="Arial"/>
                <w:b w:val="0"/>
                <w:snapToGrid/>
                <w:color w:val="000000"/>
                <w:szCs w:val="24"/>
              </w:rPr>
              <w:t>Soledad Unified</w:t>
            </w:r>
          </w:p>
        </w:tc>
        <w:tc>
          <w:tcPr>
            <w:tcW w:w="1059" w:type="pct"/>
            <w:vAlign w:val="center"/>
            <w:hideMark/>
          </w:tcPr>
          <w:p w14:paraId="0855832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Rose Ferrero Elementary</w:t>
            </w:r>
          </w:p>
        </w:tc>
        <w:tc>
          <w:tcPr>
            <w:tcW w:w="734" w:type="pct"/>
            <w:noWrap/>
            <w:vAlign w:val="center"/>
            <w:hideMark/>
          </w:tcPr>
          <w:p w14:paraId="5395D4AC"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23</w:t>
            </w:r>
          </w:p>
        </w:tc>
        <w:tc>
          <w:tcPr>
            <w:tcW w:w="780" w:type="pct"/>
            <w:noWrap/>
            <w:vAlign w:val="center"/>
            <w:hideMark/>
          </w:tcPr>
          <w:p w14:paraId="360CB256"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480</w:t>
            </w:r>
          </w:p>
        </w:tc>
        <w:tc>
          <w:tcPr>
            <w:tcW w:w="458" w:type="pct"/>
            <w:noWrap/>
            <w:vAlign w:val="center"/>
            <w:hideMark/>
          </w:tcPr>
          <w:p w14:paraId="20225DA4"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4</w:t>
            </w:r>
          </w:p>
        </w:tc>
        <w:tc>
          <w:tcPr>
            <w:tcW w:w="506" w:type="pct"/>
            <w:noWrap/>
            <w:vAlign w:val="center"/>
            <w:hideMark/>
          </w:tcPr>
          <w:p w14:paraId="616F329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203</w:t>
            </w:r>
          </w:p>
        </w:tc>
        <w:tc>
          <w:tcPr>
            <w:tcW w:w="548" w:type="pct"/>
            <w:noWrap/>
            <w:vAlign w:val="center"/>
            <w:hideMark/>
          </w:tcPr>
          <w:p w14:paraId="01F4DF25"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53</w:t>
            </w:r>
          </w:p>
        </w:tc>
      </w:tr>
      <w:tr w:rsidR="00626A44" w:rsidRPr="00595D37" w14:paraId="7E644905"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tcPr>
          <w:p w14:paraId="55D9E95A" w14:textId="77777777" w:rsidR="00626A44" w:rsidRPr="0011785E" w:rsidRDefault="006B0994" w:rsidP="00511C18">
            <w:pPr>
              <w:widowControl/>
              <w:rPr>
                <w:rFonts w:cs="Arial"/>
                <w:b w:val="0"/>
                <w:snapToGrid/>
                <w:color w:val="000000"/>
                <w:szCs w:val="24"/>
              </w:rPr>
            </w:pPr>
            <w:r>
              <w:rPr>
                <w:rFonts w:cs="Arial"/>
                <w:b w:val="0"/>
                <w:snapToGrid/>
                <w:color w:val="000000"/>
                <w:szCs w:val="24"/>
              </w:rPr>
              <w:t>Soledad Unified</w:t>
            </w:r>
          </w:p>
        </w:tc>
        <w:tc>
          <w:tcPr>
            <w:tcW w:w="1059" w:type="pct"/>
            <w:vAlign w:val="center"/>
            <w:hideMark/>
          </w:tcPr>
          <w:p w14:paraId="23D9F83D"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San Vicente Elementary</w:t>
            </w:r>
          </w:p>
        </w:tc>
        <w:tc>
          <w:tcPr>
            <w:tcW w:w="734" w:type="pct"/>
            <w:noWrap/>
            <w:vAlign w:val="center"/>
            <w:hideMark/>
          </w:tcPr>
          <w:p w14:paraId="7C150E21"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26</w:t>
            </w:r>
          </w:p>
        </w:tc>
        <w:tc>
          <w:tcPr>
            <w:tcW w:w="780" w:type="pct"/>
            <w:noWrap/>
            <w:vAlign w:val="center"/>
            <w:hideMark/>
          </w:tcPr>
          <w:p w14:paraId="4ECBFD40"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516</w:t>
            </w:r>
          </w:p>
        </w:tc>
        <w:tc>
          <w:tcPr>
            <w:tcW w:w="458" w:type="pct"/>
            <w:noWrap/>
            <w:vAlign w:val="center"/>
            <w:hideMark/>
          </w:tcPr>
          <w:p w14:paraId="02BF646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0</w:t>
            </w:r>
          </w:p>
        </w:tc>
        <w:tc>
          <w:tcPr>
            <w:tcW w:w="506" w:type="pct"/>
            <w:noWrap/>
            <w:vAlign w:val="center"/>
            <w:hideMark/>
          </w:tcPr>
          <w:p w14:paraId="037CA42F"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303</w:t>
            </w:r>
          </w:p>
        </w:tc>
        <w:tc>
          <w:tcPr>
            <w:tcW w:w="548" w:type="pct"/>
            <w:noWrap/>
            <w:vAlign w:val="center"/>
            <w:hideMark/>
          </w:tcPr>
          <w:p w14:paraId="5FB358D8" w14:textId="77777777" w:rsidR="00626A44" w:rsidRPr="00595D37" w:rsidRDefault="00626A44"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76</w:t>
            </w:r>
          </w:p>
        </w:tc>
      </w:tr>
      <w:tr w:rsidR="0087659A" w:rsidRPr="00595D37" w14:paraId="28D589D2" w14:textId="77777777" w:rsidTr="00D31172">
        <w:trPr>
          <w:trHeight w:val="615"/>
        </w:trPr>
        <w:tc>
          <w:tcPr>
            <w:cnfStyle w:val="001000000000" w:firstRow="0" w:lastRow="0" w:firstColumn="1" w:lastColumn="0" w:oddVBand="0" w:evenVBand="0" w:oddHBand="0" w:evenHBand="0" w:firstRowFirstColumn="0" w:firstRowLastColumn="0" w:lastRowFirstColumn="0" w:lastRowLastColumn="0"/>
            <w:tcW w:w="915" w:type="pct"/>
            <w:vAlign w:val="center"/>
          </w:tcPr>
          <w:p w14:paraId="685251AE" w14:textId="77777777" w:rsidR="0087659A" w:rsidRPr="0011785E" w:rsidRDefault="006B0994" w:rsidP="00511C18">
            <w:pPr>
              <w:widowControl/>
              <w:rPr>
                <w:rFonts w:cs="Arial"/>
                <w:b w:val="0"/>
                <w:snapToGrid/>
                <w:color w:val="000000"/>
                <w:szCs w:val="24"/>
              </w:rPr>
            </w:pPr>
            <w:r>
              <w:rPr>
                <w:rFonts w:cs="Arial"/>
                <w:b w:val="0"/>
                <w:snapToGrid/>
                <w:color w:val="000000"/>
                <w:szCs w:val="24"/>
              </w:rPr>
              <w:t>Soledad Unified</w:t>
            </w:r>
          </w:p>
        </w:tc>
        <w:tc>
          <w:tcPr>
            <w:tcW w:w="1059" w:type="pct"/>
            <w:vAlign w:val="center"/>
          </w:tcPr>
          <w:p w14:paraId="39146CA2" w14:textId="77777777" w:rsidR="0087659A" w:rsidRPr="00595D37" w:rsidRDefault="0087659A"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Soledad High</w:t>
            </w:r>
          </w:p>
        </w:tc>
        <w:tc>
          <w:tcPr>
            <w:tcW w:w="734" w:type="pct"/>
            <w:noWrap/>
            <w:vAlign w:val="center"/>
          </w:tcPr>
          <w:p w14:paraId="5F985652" w14:textId="77777777" w:rsidR="0087659A" w:rsidRPr="00595D37" w:rsidRDefault="0087659A"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69</w:t>
            </w:r>
          </w:p>
        </w:tc>
        <w:tc>
          <w:tcPr>
            <w:tcW w:w="780" w:type="pct"/>
            <w:noWrap/>
            <w:vAlign w:val="center"/>
          </w:tcPr>
          <w:p w14:paraId="72346EF6" w14:textId="77777777" w:rsidR="0087659A" w:rsidRPr="00595D37" w:rsidRDefault="0087659A"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1,492</w:t>
            </w:r>
          </w:p>
        </w:tc>
        <w:tc>
          <w:tcPr>
            <w:tcW w:w="458" w:type="pct"/>
            <w:noWrap/>
            <w:vAlign w:val="center"/>
          </w:tcPr>
          <w:p w14:paraId="6091D823" w14:textId="77777777" w:rsidR="0087659A" w:rsidRPr="00595D37" w:rsidRDefault="0087659A"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7</w:t>
            </w:r>
          </w:p>
        </w:tc>
        <w:tc>
          <w:tcPr>
            <w:tcW w:w="506" w:type="pct"/>
            <w:noWrap/>
            <w:vAlign w:val="center"/>
          </w:tcPr>
          <w:p w14:paraId="561DB1D2" w14:textId="77777777" w:rsidR="0087659A" w:rsidRPr="00595D37" w:rsidRDefault="0087659A"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176</w:t>
            </w:r>
          </w:p>
        </w:tc>
        <w:tc>
          <w:tcPr>
            <w:tcW w:w="548" w:type="pct"/>
            <w:noWrap/>
            <w:vAlign w:val="center"/>
          </w:tcPr>
          <w:p w14:paraId="4C3BAFD6" w14:textId="77777777" w:rsidR="0087659A" w:rsidRPr="00595D37" w:rsidRDefault="0087659A" w:rsidP="00511C18">
            <w:pPr>
              <w:widowControl/>
              <w:cnfStyle w:val="000000000000" w:firstRow="0" w:lastRow="0" w:firstColumn="0" w:lastColumn="0" w:oddVBand="0" w:evenVBand="0" w:oddHBand="0" w:evenHBand="0" w:firstRowFirstColumn="0" w:firstRowLastColumn="0" w:lastRowFirstColumn="0" w:lastRowLastColumn="0"/>
              <w:rPr>
                <w:rFonts w:cs="Arial"/>
                <w:snapToGrid/>
                <w:color w:val="000000"/>
                <w:szCs w:val="24"/>
              </w:rPr>
            </w:pPr>
            <w:r w:rsidRPr="00595D37">
              <w:rPr>
                <w:rFonts w:cs="Arial"/>
                <w:snapToGrid/>
                <w:color w:val="000000"/>
                <w:szCs w:val="24"/>
              </w:rPr>
              <w:t>174</w:t>
            </w:r>
          </w:p>
        </w:tc>
      </w:tr>
      <w:tr w:rsidR="0087659A" w:rsidRPr="00595D37" w14:paraId="1F9A6C8C" w14:textId="77777777" w:rsidTr="00D31172">
        <w:trPr>
          <w:trHeight w:val="330"/>
        </w:trPr>
        <w:tc>
          <w:tcPr>
            <w:cnfStyle w:val="001000000000" w:firstRow="0" w:lastRow="0" w:firstColumn="1" w:lastColumn="0" w:oddVBand="0" w:evenVBand="0" w:oddHBand="0" w:evenHBand="0" w:firstRowFirstColumn="0" w:firstRowLastColumn="0" w:lastRowFirstColumn="0" w:lastRowLastColumn="0"/>
            <w:tcW w:w="915" w:type="pct"/>
            <w:vAlign w:val="center"/>
            <w:hideMark/>
          </w:tcPr>
          <w:p w14:paraId="23151867" w14:textId="77777777" w:rsidR="0087659A" w:rsidRPr="00595D37" w:rsidRDefault="0087659A" w:rsidP="00511C18">
            <w:pPr>
              <w:widowControl/>
              <w:rPr>
                <w:rFonts w:cs="Arial"/>
                <w:snapToGrid/>
                <w:color w:val="000000"/>
                <w:szCs w:val="24"/>
              </w:rPr>
            </w:pPr>
            <w:r w:rsidRPr="002A4508">
              <w:rPr>
                <w:rFonts w:cs="Arial"/>
                <w:snapToGrid/>
                <w:color w:val="000000"/>
                <w:szCs w:val="24"/>
              </w:rPr>
              <w:t>Total</w:t>
            </w:r>
            <w:r w:rsidRPr="00595D37">
              <w:rPr>
                <w:rFonts w:cs="Arial"/>
                <w:b w:val="0"/>
                <w:bCs w:val="0"/>
                <w:snapToGrid/>
                <w:color w:val="000000"/>
                <w:szCs w:val="24"/>
              </w:rPr>
              <w:t> </w:t>
            </w:r>
          </w:p>
        </w:tc>
        <w:tc>
          <w:tcPr>
            <w:tcW w:w="1059" w:type="pct"/>
            <w:vAlign w:val="center"/>
          </w:tcPr>
          <w:p w14:paraId="7B55FC75" w14:textId="77777777" w:rsidR="0087659A" w:rsidRPr="00595D37" w:rsidRDefault="0087659A" w:rsidP="00511C18">
            <w:pPr>
              <w:widowControl/>
              <w:cnfStyle w:val="000000000000" w:firstRow="0" w:lastRow="0" w:firstColumn="0" w:lastColumn="0" w:oddVBand="0" w:evenVBand="0" w:oddHBand="0" w:evenHBand="0" w:firstRowFirstColumn="0" w:firstRowLastColumn="0" w:lastRowFirstColumn="0" w:lastRowLastColumn="0"/>
              <w:rPr>
                <w:rFonts w:cs="Arial"/>
                <w:b/>
                <w:bCs/>
                <w:snapToGrid/>
                <w:color w:val="000000"/>
                <w:szCs w:val="24"/>
              </w:rPr>
            </w:pPr>
            <w:r>
              <w:rPr>
                <w:rFonts w:cs="Arial"/>
                <w:b/>
                <w:bCs/>
                <w:snapToGrid/>
                <w:color w:val="000000"/>
                <w:szCs w:val="24"/>
              </w:rPr>
              <w:t>129</w:t>
            </w:r>
          </w:p>
        </w:tc>
        <w:tc>
          <w:tcPr>
            <w:tcW w:w="734" w:type="pct"/>
            <w:noWrap/>
            <w:vAlign w:val="center"/>
            <w:hideMark/>
          </w:tcPr>
          <w:p w14:paraId="2CC31AED" w14:textId="77777777" w:rsidR="0087659A" w:rsidRPr="00595D37" w:rsidRDefault="0087659A" w:rsidP="00511C18">
            <w:pPr>
              <w:widowControl/>
              <w:cnfStyle w:val="000000000000" w:firstRow="0" w:lastRow="0" w:firstColumn="0" w:lastColumn="0" w:oddVBand="0" w:evenVBand="0" w:oddHBand="0" w:evenHBand="0" w:firstRowFirstColumn="0" w:firstRowLastColumn="0" w:lastRowFirstColumn="0" w:lastRowLastColumn="0"/>
              <w:rPr>
                <w:rFonts w:cs="Arial"/>
                <w:b/>
                <w:bCs/>
                <w:snapToGrid/>
                <w:color w:val="000000"/>
                <w:szCs w:val="24"/>
              </w:rPr>
            </w:pPr>
            <w:r w:rsidRPr="00595D37">
              <w:rPr>
                <w:rFonts w:cs="Arial"/>
                <w:b/>
                <w:bCs/>
                <w:snapToGrid/>
                <w:color w:val="000000"/>
                <w:szCs w:val="24"/>
              </w:rPr>
              <w:t>3,342</w:t>
            </w:r>
          </w:p>
        </w:tc>
        <w:tc>
          <w:tcPr>
            <w:tcW w:w="780" w:type="pct"/>
            <w:noWrap/>
            <w:vAlign w:val="center"/>
            <w:hideMark/>
          </w:tcPr>
          <w:p w14:paraId="53ECCAD7" w14:textId="77777777" w:rsidR="0087659A" w:rsidRPr="00595D37" w:rsidRDefault="00371F3E" w:rsidP="00511C18">
            <w:pPr>
              <w:widowControl/>
              <w:cnfStyle w:val="000000000000" w:firstRow="0" w:lastRow="0" w:firstColumn="0" w:lastColumn="0" w:oddVBand="0" w:evenVBand="0" w:oddHBand="0" w:evenHBand="0" w:firstRowFirstColumn="0" w:firstRowLastColumn="0" w:lastRowFirstColumn="0" w:lastRowLastColumn="0"/>
              <w:rPr>
                <w:rFonts w:cs="Arial"/>
                <w:b/>
                <w:bCs/>
                <w:snapToGrid/>
                <w:color w:val="000000"/>
                <w:szCs w:val="24"/>
              </w:rPr>
            </w:pPr>
            <w:r>
              <w:rPr>
                <w:rFonts w:cs="Arial"/>
                <w:b/>
                <w:bCs/>
                <w:snapToGrid/>
                <w:color w:val="000000"/>
                <w:szCs w:val="24"/>
              </w:rPr>
              <w:t>69,594</w:t>
            </w:r>
          </w:p>
        </w:tc>
        <w:tc>
          <w:tcPr>
            <w:tcW w:w="458" w:type="pct"/>
            <w:noWrap/>
            <w:vAlign w:val="center"/>
            <w:hideMark/>
          </w:tcPr>
          <w:p w14:paraId="3E2E84A7" w14:textId="77777777" w:rsidR="0087659A" w:rsidRPr="00595D37" w:rsidRDefault="00371F3E" w:rsidP="00511C18">
            <w:pPr>
              <w:widowControl/>
              <w:cnfStyle w:val="000000000000" w:firstRow="0" w:lastRow="0" w:firstColumn="0" w:lastColumn="0" w:oddVBand="0" w:evenVBand="0" w:oddHBand="0" w:evenHBand="0" w:firstRowFirstColumn="0" w:firstRowLastColumn="0" w:lastRowFirstColumn="0" w:lastRowLastColumn="0"/>
              <w:rPr>
                <w:rFonts w:cs="Arial"/>
                <w:b/>
                <w:bCs/>
                <w:snapToGrid/>
                <w:color w:val="000000"/>
                <w:szCs w:val="24"/>
              </w:rPr>
            </w:pPr>
            <w:r>
              <w:rPr>
                <w:rFonts w:cs="Arial"/>
                <w:b/>
                <w:bCs/>
                <w:snapToGrid/>
                <w:color w:val="000000"/>
                <w:szCs w:val="24"/>
              </w:rPr>
              <w:t>1,213</w:t>
            </w:r>
          </w:p>
        </w:tc>
        <w:tc>
          <w:tcPr>
            <w:tcW w:w="506" w:type="pct"/>
            <w:noWrap/>
            <w:vAlign w:val="center"/>
            <w:hideMark/>
          </w:tcPr>
          <w:p w14:paraId="19A3DFC0" w14:textId="77777777" w:rsidR="0087659A" w:rsidRPr="00595D37" w:rsidRDefault="00371F3E" w:rsidP="00511C18">
            <w:pPr>
              <w:widowControl/>
              <w:cnfStyle w:val="000000000000" w:firstRow="0" w:lastRow="0" w:firstColumn="0" w:lastColumn="0" w:oddVBand="0" w:evenVBand="0" w:oddHBand="0" w:evenHBand="0" w:firstRowFirstColumn="0" w:firstRowLastColumn="0" w:lastRowFirstColumn="0" w:lastRowLastColumn="0"/>
              <w:rPr>
                <w:rFonts w:cs="Arial"/>
                <w:b/>
                <w:bCs/>
                <w:snapToGrid/>
                <w:color w:val="000000"/>
                <w:szCs w:val="24"/>
              </w:rPr>
            </w:pPr>
            <w:r>
              <w:rPr>
                <w:rFonts w:cs="Arial"/>
                <w:b/>
                <w:bCs/>
                <w:snapToGrid/>
                <w:color w:val="000000"/>
                <w:szCs w:val="24"/>
              </w:rPr>
              <w:t>23,026</w:t>
            </w:r>
          </w:p>
        </w:tc>
        <w:tc>
          <w:tcPr>
            <w:tcW w:w="548" w:type="pct"/>
            <w:noWrap/>
            <w:vAlign w:val="center"/>
            <w:hideMark/>
          </w:tcPr>
          <w:p w14:paraId="3ECB7D80" w14:textId="77777777" w:rsidR="0087659A" w:rsidRPr="00595D37" w:rsidRDefault="00371F3E" w:rsidP="00511C18">
            <w:pPr>
              <w:widowControl/>
              <w:cnfStyle w:val="000000000000" w:firstRow="0" w:lastRow="0" w:firstColumn="0" w:lastColumn="0" w:oddVBand="0" w:evenVBand="0" w:oddHBand="0" w:evenHBand="0" w:firstRowFirstColumn="0" w:firstRowLastColumn="0" w:lastRowFirstColumn="0" w:lastRowLastColumn="0"/>
              <w:rPr>
                <w:rFonts w:cs="Arial"/>
                <w:b/>
                <w:bCs/>
                <w:snapToGrid/>
                <w:color w:val="000000"/>
                <w:szCs w:val="24"/>
              </w:rPr>
            </w:pPr>
            <w:r>
              <w:rPr>
                <w:rFonts w:cs="Arial"/>
                <w:b/>
                <w:bCs/>
                <w:snapToGrid/>
                <w:color w:val="000000"/>
                <w:szCs w:val="24"/>
              </w:rPr>
              <w:t>7,93</w:t>
            </w:r>
            <w:r w:rsidR="0087659A" w:rsidRPr="00595D37">
              <w:rPr>
                <w:rFonts w:cs="Arial"/>
                <w:b/>
                <w:bCs/>
                <w:snapToGrid/>
                <w:color w:val="000000"/>
                <w:szCs w:val="24"/>
              </w:rPr>
              <w:t>7</w:t>
            </w:r>
          </w:p>
        </w:tc>
      </w:tr>
    </w:tbl>
    <w:p w14:paraId="0242F08F" w14:textId="1F1C4290" w:rsidR="000664BA" w:rsidRPr="00EC3161" w:rsidRDefault="002B5F30" w:rsidP="00511C18">
      <w:pPr>
        <w:pStyle w:val="Heading2"/>
      </w:pPr>
      <w:bookmarkStart w:id="20" w:name="_Toc46228501"/>
      <w:r>
        <w:t xml:space="preserve">IV. </w:t>
      </w:r>
      <w:r w:rsidR="00106892">
        <w:t>S</w:t>
      </w:r>
      <w:r w:rsidR="00B83A4B">
        <w:t>ummary of Outcome</w:t>
      </w:r>
      <w:r w:rsidR="000664BA" w:rsidRPr="00EC3161">
        <w:t xml:space="preserve"> Data Resulting from the Activities</w:t>
      </w:r>
      <w:r w:rsidR="00EA5F14" w:rsidRPr="00EC3161">
        <w:t xml:space="preserve"> </w:t>
      </w:r>
      <w:r w:rsidR="000664BA" w:rsidRPr="00EC3161">
        <w:t>Conducted</w:t>
      </w:r>
      <w:bookmarkEnd w:id="20"/>
    </w:p>
    <w:p w14:paraId="5D134C2E" w14:textId="77777777" w:rsidR="000664BA" w:rsidRDefault="000664BA" w:rsidP="00511C18">
      <w:pPr>
        <w:spacing w:before="240" w:after="240"/>
      </w:pPr>
      <w:r>
        <w:t xml:space="preserve">The first year’s CEPIP activities conducted by the two equity leads have </w:t>
      </w:r>
      <w:r w:rsidR="00124C37">
        <w:t>affected CEPIP educators and students in the following areas</w:t>
      </w:r>
      <w:r>
        <w:t>:</w:t>
      </w:r>
    </w:p>
    <w:p w14:paraId="485E5D53" w14:textId="77777777" w:rsidR="000664BA" w:rsidRDefault="00124C37" w:rsidP="00511C18">
      <w:pPr>
        <w:pStyle w:val="ListParagraph"/>
        <w:numPr>
          <w:ilvl w:val="0"/>
          <w:numId w:val="25"/>
        </w:numPr>
        <w:spacing w:before="240" w:after="240"/>
      </w:pPr>
      <w:r>
        <w:t>E</w:t>
      </w:r>
      <w:r w:rsidR="000664BA">
        <w:t>ducator’s mission and commitment to equity for action</w:t>
      </w:r>
    </w:p>
    <w:p w14:paraId="672F171C" w14:textId="77777777" w:rsidR="000664BA" w:rsidRDefault="00124C37" w:rsidP="00511C18">
      <w:pPr>
        <w:pStyle w:val="ListParagraph"/>
        <w:numPr>
          <w:ilvl w:val="0"/>
          <w:numId w:val="25"/>
        </w:numPr>
        <w:spacing w:before="240" w:after="240"/>
      </w:pPr>
      <w:r>
        <w:t>E</w:t>
      </w:r>
      <w:r w:rsidR="000664BA">
        <w:t xml:space="preserve">ducators’ </w:t>
      </w:r>
      <w:r w:rsidR="0078112B">
        <w:t>capacity to close the achievement gap</w:t>
      </w:r>
    </w:p>
    <w:p w14:paraId="149684D6" w14:textId="77777777" w:rsidR="000664BA" w:rsidRDefault="0078112B" w:rsidP="00511C18">
      <w:pPr>
        <w:pStyle w:val="ListParagraph"/>
        <w:numPr>
          <w:ilvl w:val="0"/>
          <w:numId w:val="25"/>
        </w:numPr>
        <w:spacing w:before="240" w:after="240"/>
      </w:pPr>
      <w:r>
        <w:t>Students’ engagement</w:t>
      </w:r>
    </w:p>
    <w:p w14:paraId="6D72BC4A" w14:textId="77777777" w:rsidR="000664BA" w:rsidRDefault="0078112B" w:rsidP="00511C18">
      <w:pPr>
        <w:pStyle w:val="ListParagraph"/>
        <w:numPr>
          <w:ilvl w:val="0"/>
          <w:numId w:val="25"/>
        </w:numPr>
        <w:spacing w:before="240" w:after="240"/>
      </w:pPr>
      <w:r>
        <w:t>S</w:t>
      </w:r>
      <w:r w:rsidR="000664BA">
        <w:t>tudents’ academic achievement</w:t>
      </w:r>
    </w:p>
    <w:p w14:paraId="65AE45B6" w14:textId="77777777" w:rsidR="0078112B" w:rsidRDefault="0078112B" w:rsidP="00511C18">
      <w:pPr>
        <w:spacing w:before="240" w:after="240"/>
      </w:pPr>
      <w:r>
        <w:t>The following sections provide summaries of how San Diego and Santa Clara Equity Leads have conducted their CEPIP activities to achieve the CEPIP goals.</w:t>
      </w:r>
    </w:p>
    <w:p w14:paraId="69B5476F" w14:textId="30D281F7" w:rsidR="000664BA" w:rsidRPr="00EA5F14" w:rsidRDefault="000664BA" w:rsidP="00511C18">
      <w:pPr>
        <w:pStyle w:val="Heading3"/>
      </w:pPr>
      <w:bookmarkStart w:id="21" w:name="_Toc46228502"/>
      <w:r w:rsidRPr="00EA5F14">
        <w:t xml:space="preserve">Renewed </w:t>
      </w:r>
      <w:r w:rsidRPr="000F0154">
        <w:t>Educator’s</w:t>
      </w:r>
      <w:r w:rsidRPr="00EA5F14">
        <w:t xml:space="preserve"> Mission and Commitment to Equity for Action</w:t>
      </w:r>
      <w:bookmarkEnd w:id="21"/>
    </w:p>
    <w:p w14:paraId="6A8251E0" w14:textId="77777777" w:rsidR="000664BA" w:rsidRDefault="000664BA" w:rsidP="00511C18">
      <w:pPr>
        <w:spacing w:before="240" w:after="240"/>
      </w:pPr>
      <w:r>
        <w:t>Although achieving education equity has been a long standing effort led by generations of civil rights leaders, the renewed mission and commitment to equity is critical for educators to foster a culture of inclusion and welcoming in schools. Through equity activities, online learning communities, school, learning institutes, and statewide conferences, the CEPIP has reached out to the education community to renew educators’ commitment to equity.</w:t>
      </w:r>
    </w:p>
    <w:p w14:paraId="248BF570" w14:textId="77777777" w:rsidR="000664BA" w:rsidRDefault="000664BA" w:rsidP="00511C18">
      <w:pPr>
        <w:spacing w:before="240" w:after="240"/>
      </w:pPr>
      <w:r>
        <w:t>After conducting a number of equity audits followed by leveraging equity audit report findings, the San Diego COE Equity Lead reported that 100</w:t>
      </w:r>
      <w:r w:rsidR="006F7423">
        <w:t xml:space="preserve"> percent</w:t>
      </w:r>
      <w:r>
        <w:t xml:space="preserve"> of teams (all four school sites) prioritized a root cause analysis and determined an equity challenge to take, as the first step in their PDSA.</w:t>
      </w:r>
    </w:p>
    <w:p w14:paraId="28539538" w14:textId="77777777" w:rsidR="000664BA" w:rsidRDefault="00AA6EC5" w:rsidP="00511C18">
      <w:pPr>
        <w:spacing w:before="240" w:after="240"/>
      </w:pPr>
      <w:r>
        <w:t xml:space="preserve">Santa Clara COE Equity Lead, in collaboration with CAST, developed online </w:t>
      </w:r>
      <w:r>
        <w:lastRenderedPageBreak/>
        <w:t xml:space="preserve">professional learning program modules. The “Mission and Commitment” end-of-course survey reflects 100 percent of the participants reporting agree/strongly agree with “I will be able to apply what I learned.” </w:t>
      </w:r>
      <w:r w:rsidR="00B64EDB">
        <w:t>There are 22 educators from its partnering schools, districts, and COEs who completed this course.</w:t>
      </w:r>
    </w:p>
    <w:p w14:paraId="29903C6B" w14:textId="6F1437C0" w:rsidR="000664BA" w:rsidRPr="00EA5F14" w:rsidRDefault="000664BA" w:rsidP="00511C18">
      <w:pPr>
        <w:pStyle w:val="Heading4"/>
      </w:pPr>
      <w:bookmarkStart w:id="22" w:name="_Toc23845653"/>
      <w:r w:rsidRPr="00EA5F14">
        <w:t>Increased Educators’ Knowledge and Skills</w:t>
      </w:r>
      <w:bookmarkEnd w:id="22"/>
    </w:p>
    <w:p w14:paraId="1D6A9BC1" w14:textId="77777777" w:rsidR="000664BA" w:rsidRDefault="000664BA" w:rsidP="00511C18">
      <w:pPr>
        <w:spacing w:before="240" w:after="240"/>
      </w:pPr>
      <w:r>
        <w:t>The San Diego COE Equity Lead engaged in equity consciousness learning and leadership practices that focused on the following topics:</w:t>
      </w:r>
    </w:p>
    <w:p w14:paraId="1DE60E83" w14:textId="77777777" w:rsidR="000664BA" w:rsidRDefault="000664BA" w:rsidP="00511C18">
      <w:pPr>
        <w:pStyle w:val="ListParagraph"/>
        <w:numPr>
          <w:ilvl w:val="0"/>
          <w:numId w:val="26"/>
        </w:numPr>
        <w:spacing w:before="240" w:after="240"/>
      </w:pPr>
      <w:r>
        <w:t>Complexity of systems: Technical and relational interconnectivity</w:t>
      </w:r>
    </w:p>
    <w:p w14:paraId="1DC77170" w14:textId="77777777" w:rsidR="000664BA" w:rsidRDefault="000664BA" w:rsidP="00511C18">
      <w:pPr>
        <w:pStyle w:val="ListParagraph"/>
        <w:numPr>
          <w:ilvl w:val="0"/>
          <w:numId w:val="26"/>
        </w:numPr>
        <w:spacing w:before="240" w:after="240"/>
      </w:pPr>
      <w:r>
        <w:t>Complexities of equity</w:t>
      </w:r>
    </w:p>
    <w:p w14:paraId="075791DC" w14:textId="77777777" w:rsidR="000664BA" w:rsidRDefault="000664BA" w:rsidP="00511C18">
      <w:pPr>
        <w:pStyle w:val="ListParagraph"/>
        <w:numPr>
          <w:ilvl w:val="0"/>
          <w:numId w:val="26"/>
        </w:numPr>
        <w:spacing w:before="240" w:after="240"/>
      </w:pPr>
      <w:r>
        <w:t>Implicit bias</w:t>
      </w:r>
    </w:p>
    <w:p w14:paraId="458352EE" w14:textId="77777777" w:rsidR="000664BA" w:rsidRDefault="000664BA" w:rsidP="00511C18">
      <w:pPr>
        <w:pStyle w:val="ListParagraph"/>
        <w:numPr>
          <w:ilvl w:val="0"/>
          <w:numId w:val="26"/>
        </w:numPr>
        <w:spacing w:before="240" w:after="240"/>
      </w:pPr>
      <w:r>
        <w:t>Privilege</w:t>
      </w:r>
    </w:p>
    <w:p w14:paraId="5A113C2B" w14:textId="77777777" w:rsidR="000664BA" w:rsidRDefault="000664BA" w:rsidP="00511C18">
      <w:pPr>
        <w:pStyle w:val="ListParagraph"/>
        <w:numPr>
          <w:ilvl w:val="0"/>
          <w:numId w:val="26"/>
        </w:numPr>
        <w:spacing w:before="240" w:after="240"/>
      </w:pPr>
      <w:r>
        <w:t>Systemic oppression</w:t>
      </w:r>
    </w:p>
    <w:p w14:paraId="623E10F1" w14:textId="77777777" w:rsidR="000664BA" w:rsidRDefault="000664BA" w:rsidP="00511C18">
      <w:pPr>
        <w:pStyle w:val="ListParagraph"/>
        <w:numPr>
          <w:ilvl w:val="0"/>
          <w:numId w:val="26"/>
        </w:numPr>
        <w:spacing w:before="240" w:after="240"/>
      </w:pPr>
      <w:r>
        <w:t>Culturally responsive teaching and leadership</w:t>
      </w:r>
    </w:p>
    <w:p w14:paraId="021CC6CB" w14:textId="77777777" w:rsidR="000664BA" w:rsidRDefault="000664BA" w:rsidP="00511C18">
      <w:pPr>
        <w:spacing w:before="240" w:after="240"/>
      </w:pPr>
      <w:r>
        <w:t xml:space="preserve">Based on a survey of their four partnering schools, participant’s knowledge, skills, and attitudes of equity increased from 2.78 points </w:t>
      </w:r>
      <w:r w:rsidRPr="00C7407D">
        <w:t xml:space="preserve">to 4.16 </w:t>
      </w:r>
      <w:r>
        <w:t xml:space="preserve">points </w:t>
      </w:r>
      <w:r w:rsidRPr="00C7407D">
        <w:t>on a 6-point scale.</w:t>
      </w:r>
    </w:p>
    <w:p w14:paraId="25031A09" w14:textId="77777777" w:rsidR="000664BA" w:rsidRDefault="000664BA" w:rsidP="00511C18">
      <w:pPr>
        <w:spacing w:before="240" w:after="240"/>
      </w:pPr>
      <w:r>
        <w:t>The Santa Clara COE Equity Lead conducted site-based institutes, as well as online professional learning modules that focused on the following topics:</w:t>
      </w:r>
    </w:p>
    <w:p w14:paraId="030A9F45" w14:textId="77777777" w:rsidR="000664BA" w:rsidRDefault="000664BA" w:rsidP="00511C18">
      <w:pPr>
        <w:pStyle w:val="ListParagraph"/>
        <w:numPr>
          <w:ilvl w:val="0"/>
          <w:numId w:val="27"/>
        </w:numPr>
        <w:spacing w:before="240" w:after="240"/>
      </w:pPr>
      <w:r>
        <w:t>Co-teaching for equity</w:t>
      </w:r>
    </w:p>
    <w:p w14:paraId="498CD5EF" w14:textId="77777777" w:rsidR="000664BA" w:rsidRDefault="000664BA" w:rsidP="00511C18">
      <w:pPr>
        <w:pStyle w:val="ListParagraph"/>
        <w:numPr>
          <w:ilvl w:val="0"/>
          <w:numId w:val="27"/>
        </w:numPr>
        <w:spacing w:before="240" w:after="240"/>
      </w:pPr>
      <w:r>
        <w:t>Culturally sustaining teaching equity in action</w:t>
      </w:r>
    </w:p>
    <w:p w14:paraId="3AF810B0" w14:textId="77777777" w:rsidR="000664BA" w:rsidRDefault="000664BA" w:rsidP="00511C18">
      <w:pPr>
        <w:pStyle w:val="ListParagraph"/>
        <w:numPr>
          <w:ilvl w:val="0"/>
          <w:numId w:val="27"/>
        </w:numPr>
        <w:spacing w:before="240" w:after="240"/>
      </w:pPr>
      <w:r>
        <w:t>Culturally responsive anti-biased teaching</w:t>
      </w:r>
    </w:p>
    <w:p w14:paraId="59A4F8C4" w14:textId="77777777" w:rsidR="000664BA" w:rsidRDefault="000664BA" w:rsidP="00511C18">
      <w:pPr>
        <w:pStyle w:val="ListParagraph"/>
        <w:numPr>
          <w:ilvl w:val="0"/>
          <w:numId w:val="27"/>
        </w:numPr>
        <w:spacing w:before="240" w:after="240"/>
      </w:pPr>
      <w:r>
        <w:t>Equitable practices for English Learners</w:t>
      </w:r>
    </w:p>
    <w:p w14:paraId="28E86653" w14:textId="77777777" w:rsidR="009869C6" w:rsidRDefault="000664BA" w:rsidP="00511C18">
      <w:pPr>
        <w:pStyle w:val="ListParagraph"/>
        <w:numPr>
          <w:ilvl w:val="0"/>
          <w:numId w:val="27"/>
        </w:numPr>
        <w:spacing w:before="240" w:after="240"/>
      </w:pPr>
      <w:r>
        <w:t>UDL</w:t>
      </w:r>
    </w:p>
    <w:p w14:paraId="76AA3FF0" w14:textId="77777777" w:rsidR="000664BA" w:rsidRDefault="000664BA" w:rsidP="00511C18">
      <w:pPr>
        <w:pStyle w:val="ListParagraph"/>
        <w:numPr>
          <w:ilvl w:val="0"/>
          <w:numId w:val="27"/>
        </w:numPr>
        <w:spacing w:before="240" w:after="240"/>
      </w:pPr>
      <w:r>
        <w:t>Building collaborative teams</w:t>
      </w:r>
    </w:p>
    <w:p w14:paraId="7C63C675" w14:textId="77777777" w:rsidR="000664BA" w:rsidRDefault="000664BA" w:rsidP="00511C18">
      <w:pPr>
        <w:pStyle w:val="ListParagraph"/>
        <w:numPr>
          <w:ilvl w:val="0"/>
          <w:numId w:val="27"/>
        </w:numPr>
        <w:spacing w:before="240" w:after="240"/>
      </w:pPr>
      <w:r>
        <w:t>Supporting English Learners in MTSS</w:t>
      </w:r>
    </w:p>
    <w:p w14:paraId="1AC1627A" w14:textId="77777777" w:rsidR="000664BA" w:rsidRDefault="000664BA" w:rsidP="00511C18">
      <w:pPr>
        <w:pStyle w:val="ListParagraph"/>
        <w:numPr>
          <w:ilvl w:val="0"/>
          <w:numId w:val="27"/>
        </w:numPr>
        <w:spacing w:before="240" w:after="240"/>
      </w:pPr>
      <w:r>
        <w:t>Supporting Students with Disabilities in MTSS</w:t>
      </w:r>
    </w:p>
    <w:p w14:paraId="07EBB26C" w14:textId="4A202460" w:rsidR="000664BA" w:rsidRPr="00EA5F14" w:rsidRDefault="000664BA" w:rsidP="00511C18">
      <w:pPr>
        <w:pStyle w:val="Heading4"/>
      </w:pPr>
      <w:r w:rsidRPr="00EA5F14">
        <w:t>Reduced Suspension Rates</w:t>
      </w:r>
    </w:p>
    <w:p w14:paraId="78289360" w14:textId="77777777" w:rsidR="000664BA" w:rsidRDefault="000664BA" w:rsidP="00511C18">
      <w:pPr>
        <w:spacing w:before="240" w:after="240"/>
      </w:pPr>
      <w:r>
        <w:t xml:space="preserve">Renewing the commitment to equity, holding the conviction that every child can learn, and transforming learning to making actionable changes that produce desirable results </w:t>
      </w:r>
      <w:r>
        <w:lastRenderedPageBreak/>
        <w:t>is the design of the CEPIP. Although visible impacts of change often appear slowly, there are a few observable data that emerged after the first year of implementing the CEPIP activities.</w:t>
      </w:r>
      <w:r w:rsidR="004350DF">
        <w:t xml:space="preserve"> </w:t>
      </w:r>
      <w:r>
        <w:t>The San Diego COE Equity Lead reported that there was a reduction in suspension rates among their partnering schools.</w:t>
      </w:r>
    </w:p>
    <w:p w14:paraId="47AAC847" w14:textId="77777777" w:rsidR="000664BA" w:rsidRDefault="000664BA" w:rsidP="00511C18">
      <w:pPr>
        <w:spacing w:before="240" w:after="240"/>
      </w:pPr>
      <w:r>
        <w:t>Following the multiple measure accountability model, the CDE has included suspension rate as one of the state indicators on the state’s accountability system, the California School Dashboard</w:t>
      </w:r>
      <w:r w:rsidRPr="00183EB8">
        <w:t>. The San Diego</w:t>
      </w:r>
      <w:r>
        <w:t xml:space="preserve"> COE</w:t>
      </w:r>
      <w:r w:rsidRPr="00183EB8">
        <w:t xml:space="preserve"> Equity Lead reported an estimation of 88 fewer s</w:t>
      </w:r>
      <w:r>
        <w:t>tudents</w:t>
      </w:r>
      <w:r w:rsidRPr="00183EB8">
        <w:t xml:space="preserve"> suspended by teachers who participated in the CEPIP in 2019 compared to its 2018 suspension data</w:t>
      </w:r>
      <w:r>
        <w:t>. From 2018 to 2019,</w:t>
      </w:r>
      <w:r w:rsidRPr="00183EB8">
        <w:t xml:space="preserve"> suspension data from </w:t>
      </w:r>
      <w:r>
        <w:t>San Diego COE Equity Lead partnering schools showed a decrease of 48 suspensions by its CEPIP teachers from 163 suspensions in 2018 to 115 suspensions in 2019. At the same time, suspension data showed an increase of 64 suspensions by non-CEPIP teachers from 200 suspensions in 2018 to 264 suspensions in 2019. The net difference between the two groups was 112 suspensions. Using the “difference in difference” stat</w:t>
      </w:r>
      <w:r w:rsidR="004C7671">
        <w:t>istical inference method (Meyer</w:t>
      </w:r>
      <w:r>
        <w:t xml:space="preserve"> 1995), one can estimate there were 88 less suspensions due to CEPIP intervention. Overall the CEPIP teacher suspensions of 112 in 2019 was much less compared to non-CEPIP teacher suspensions of 264 in the same year.</w:t>
      </w:r>
    </w:p>
    <w:p w14:paraId="7DD2361D" w14:textId="77777777" w:rsidR="000664BA" w:rsidRDefault="000664BA" w:rsidP="00511C18">
      <w:pPr>
        <w:spacing w:before="240" w:after="240"/>
      </w:pPr>
      <w:r>
        <w:t>A similar reduction in the number of suspensions in African American students was also observed in Alum Rock Union Elementary School District, a partnering school district with 23 schools that were served by the Santa Clara COE Equity Lead.</w:t>
      </w:r>
    </w:p>
    <w:p w14:paraId="0472ED13" w14:textId="75FCF2EF" w:rsidR="000664BA" w:rsidRPr="00EA5F14" w:rsidRDefault="000664BA" w:rsidP="00511C18">
      <w:pPr>
        <w:pStyle w:val="Heading4"/>
      </w:pPr>
      <w:r w:rsidRPr="00EA5F14">
        <w:t>Increased Students’ Academic Achievement</w:t>
      </w:r>
    </w:p>
    <w:p w14:paraId="47FDB32A" w14:textId="77777777" w:rsidR="000030E1" w:rsidRDefault="004C7671" w:rsidP="00511C18">
      <w:pPr>
        <w:spacing w:before="240" w:after="240"/>
      </w:pPr>
      <w:r>
        <w:t>San Diego COE Equity Lead reported that students in All CEPIP partnering schools improved in ELA assessments on the CAASPP.</w:t>
      </w:r>
      <w:r w:rsidR="00FD29FA">
        <w:t xml:space="preserve"> Figure 1 shows the 5</w:t>
      </w:r>
      <w:r>
        <w:t xml:space="preserve"> year trajectory of students’ performance on the CAASPP ELA assessments for grades 5, 6, </w:t>
      </w:r>
      <w:r w:rsidR="00FD29FA">
        <w:t>and 11 in its CEPIP schools</w:t>
      </w:r>
      <w:r>
        <w:t xml:space="preserve"> (San Diego COE</w:t>
      </w:r>
      <w:r w:rsidR="00D72F11">
        <w:t xml:space="preserve"> 2019)</w:t>
      </w:r>
      <w:r w:rsidR="00251F9F">
        <w:t>.</w:t>
      </w:r>
      <w:r w:rsidR="004D6287">
        <w:t xml:space="preserve"> </w:t>
      </w:r>
      <w:r w:rsidR="00FD29FA">
        <w:t xml:space="preserve">As shown in Figure 1, the scale scores prior to CEPIP activities are actual average scores. It is predicted the scale scores increased in 2020. The target scores for 2021 are the lower thresholds of performance level “Standard Met”. </w:t>
      </w:r>
      <w:r w:rsidR="004D6287">
        <w:t>It can be concluded that the San Diego CEPIP schools are on track to meet its target on CAASPP ELA assessments in 2021.</w:t>
      </w:r>
    </w:p>
    <w:p w14:paraId="2A0F1EEB" w14:textId="1C436DCD" w:rsidR="00FD29FA" w:rsidRDefault="00251F9F" w:rsidP="00511C18">
      <w:pPr>
        <w:spacing w:before="240" w:after="240"/>
        <w:rPr>
          <w:b/>
        </w:rPr>
      </w:pPr>
      <w:r w:rsidRPr="00251F9F">
        <w:t xml:space="preserve">However, </w:t>
      </w:r>
      <w:r w:rsidR="00D310BD">
        <w:t xml:space="preserve">similar improvement in </w:t>
      </w:r>
      <w:r w:rsidRPr="00251F9F">
        <w:t>math</w:t>
      </w:r>
      <w:r w:rsidR="00EF3B0F">
        <w:t>ematics</w:t>
      </w:r>
      <w:r w:rsidRPr="00251F9F">
        <w:t xml:space="preserve"> CAASPP assessments was not observed</w:t>
      </w:r>
      <w:r w:rsidR="00D310BD">
        <w:t xml:space="preserve"> in 2019</w:t>
      </w:r>
      <w:r w:rsidRPr="00251F9F">
        <w:t>.</w:t>
      </w:r>
      <w:r w:rsidR="00D310BD">
        <w:t xml:space="preserve"> It is also </w:t>
      </w:r>
      <w:r w:rsidR="004D6287">
        <w:t xml:space="preserve">predicted that the average scale scores for all </w:t>
      </w:r>
      <w:r w:rsidR="000F1A68">
        <w:t>grade levels will not meet the</w:t>
      </w:r>
      <w:r w:rsidR="004D6287">
        <w:t xml:space="preserve"> targets of CAASPP mathematics assessments in 2020. Therefore, it post</w:t>
      </w:r>
      <w:r w:rsidR="000F1A68">
        <w:t>s</w:t>
      </w:r>
      <w:r w:rsidR="004D6287">
        <w:t xml:space="preserve"> greater challenges for the San Diego CEPIP </w:t>
      </w:r>
      <w:r w:rsidR="000F1A68">
        <w:t>schools to meet the</w:t>
      </w:r>
      <w:r w:rsidR="004D6287">
        <w:t xml:space="preserve"> targets of CAASPP mathematics assessments</w:t>
      </w:r>
      <w:r w:rsidR="000F1A68">
        <w:t xml:space="preserve"> in 2021</w:t>
      </w:r>
      <w:r w:rsidR="004D6287">
        <w:t>.</w:t>
      </w:r>
      <w:r>
        <w:t xml:space="preserve"> Figure 2 shows the actual, predicted, and target performance on CAASPP mathematics assessments</w:t>
      </w:r>
      <w:r w:rsidR="00AE65E0">
        <w:t xml:space="preserve"> for grades 5, 6, and 11</w:t>
      </w:r>
      <w:r>
        <w:t>.</w:t>
      </w:r>
    </w:p>
    <w:p w14:paraId="2121E3E1" w14:textId="3625321E" w:rsidR="00251F9F" w:rsidRPr="00C711C2" w:rsidRDefault="00251F9F" w:rsidP="00511C18">
      <w:pPr>
        <w:rPr>
          <w:b/>
        </w:rPr>
      </w:pPr>
      <w:r w:rsidRPr="00C711C2">
        <w:rPr>
          <w:b/>
        </w:rPr>
        <w:t>Figure 1</w:t>
      </w:r>
      <w:r w:rsidR="006C7689" w:rsidRPr="00C711C2">
        <w:rPr>
          <w:b/>
        </w:rPr>
        <w:t>—</w:t>
      </w:r>
      <w:r w:rsidRPr="00C711C2">
        <w:rPr>
          <w:b/>
        </w:rPr>
        <w:t>Actual, Predicted, and Target Performance on CAASPP ELA Assessments</w:t>
      </w:r>
    </w:p>
    <w:p w14:paraId="2C3005A8" w14:textId="391FDA7B" w:rsidR="00511C18" w:rsidRDefault="00E44F62" w:rsidP="00511C18">
      <w:pPr>
        <w:spacing w:before="240" w:after="240"/>
      </w:pPr>
      <w:r>
        <w:rPr>
          <w:noProof/>
          <w:snapToGrid/>
        </w:rPr>
        <w:lastRenderedPageBreak/>
        <w:drawing>
          <wp:inline distT="0" distB="0" distL="0" distR="0" wp14:anchorId="05E15F4E" wp14:editId="6645FE20">
            <wp:extent cx="5943600" cy="3096260"/>
            <wp:effectExtent l="0" t="0" r="0" b="8890"/>
            <wp:docPr id="6" name="Picture 6" descr="This picture shows the CAASPP ELA scale scores for grades 5, 6, and 11, from 2017 to 2021, with three year trends in actual, predicted, and target scores." title="Actual, Predicted, and Target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Dimage006.png"/>
                    <pic:cNvPicPr/>
                  </pic:nvPicPr>
                  <pic:blipFill>
                    <a:blip r:embed="rId31">
                      <a:extLst>
                        <a:ext uri="{28A0092B-C50C-407E-A947-70E740481C1C}">
                          <a14:useLocalDpi xmlns:a14="http://schemas.microsoft.com/office/drawing/2010/main" val="0"/>
                        </a:ext>
                      </a:extLst>
                    </a:blip>
                    <a:stretch>
                      <a:fillRect/>
                    </a:stretch>
                  </pic:blipFill>
                  <pic:spPr>
                    <a:xfrm>
                      <a:off x="0" y="0"/>
                      <a:ext cx="5943600" cy="3096260"/>
                    </a:xfrm>
                    <a:prstGeom prst="rect">
                      <a:avLst/>
                    </a:prstGeom>
                  </pic:spPr>
                </pic:pic>
              </a:graphicData>
            </a:graphic>
          </wp:inline>
        </w:drawing>
      </w:r>
      <w:r w:rsidR="00511C18">
        <w:br w:type="page"/>
      </w:r>
    </w:p>
    <w:p w14:paraId="4955CC7B" w14:textId="471AE712" w:rsidR="00251F9F" w:rsidRPr="00C711C2" w:rsidRDefault="006C7689" w:rsidP="00511C18">
      <w:pPr>
        <w:rPr>
          <w:b/>
        </w:rPr>
      </w:pPr>
      <w:r w:rsidRPr="00C711C2">
        <w:rPr>
          <w:b/>
        </w:rPr>
        <w:lastRenderedPageBreak/>
        <w:t>Figure 2—</w:t>
      </w:r>
      <w:r w:rsidR="00251F9F" w:rsidRPr="00C711C2">
        <w:rPr>
          <w:b/>
        </w:rPr>
        <w:t>Actual, Predicted, and Target Performance on CAASPP Mathematics Assessments</w:t>
      </w:r>
    </w:p>
    <w:p w14:paraId="7B926B56" w14:textId="77777777" w:rsidR="00251F9F" w:rsidRPr="00251F9F" w:rsidRDefault="00F82788" w:rsidP="00511C18">
      <w:pPr>
        <w:spacing w:before="240" w:after="240"/>
        <w:rPr>
          <w:b/>
        </w:rPr>
      </w:pPr>
      <w:r>
        <w:rPr>
          <w:b/>
          <w:noProof/>
          <w:snapToGrid/>
        </w:rPr>
        <w:drawing>
          <wp:inline distT="0" distB="0" distL="0" distR="0" wp14:anchorId="73715384" wp14:editId="3832DC71">
            <wp:extent cx="5943600" cy="3084195"/>
            <wp:effectExtent l="0" t="0" r="0" b="1905"/>
            <wp:docPr id="7" name="Picture 7" descr="This picture shows the CAASPP Math scale scores for grades 5, 6, and 11, from 2017 to 2021, with three year trends in actual, predicted, and target scores." title="Actual, Predicted, and Target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Dimage005.png"/>
                    <pic:cNvPicPr/>
                  </pic:nvPicPr>
                  <pic:blipFill>
                    <a:blip r:embed="rId32">
                      <a:extLst>
                        <a:ext uri="{28A0092B-C50C-407E-A947-70E740481C1C}">
                          <a14:useLocalDpi xmlns:a14="http://schemas.microsoft.com/office/drawing/2010/main" val="0"/>
                        </a:ext>
                      </a:extLst>
                    </a:blip>
                    <a:stretch>
                      <a:fillRect/>
                    </a:stretch>
                  </pic:blipFill>
                  <pic:spPr>
                    <a:xfrm>
                      <a:off x="0" y="0"/>
                      <a:ext cx="5943600" cy="3084195"/>
                    </a:xfrm>
                    <a:prstGeom prst="rect">
                      <a:avLst/>
                    </a:prstGeom>
                  </pic:spPr>
                </pic:pic>
              </a:graphicData>
            </a:graphic>
          </wp:inline>
        </w:drawing>
      </w:r>
    </w:p>
    <w:p w14:paraId="40FE0C36" w14:textId="77777777" w:rsidR="000664BA" w:rsidRDefault="000664BA" w:rsidP="00511C18">
      <w:pPr>
        <w:spacing w:before="240" w:after="240"/>
      </w:pPr>
      <w:r>
        <w:t>While increased students’ academic achievement was not observed overall</w:t>
      </w:r>
      <w:r w:rsidR="008A006E">
        <w:t xml:space="preserve"> in Santa Clara’s</w:t>
      </w:r>
      <w:r>
        <w:t xml:space="preserve"> CEPIP partnering schools and districts, </w:t>
      </w:r>
      <w:r w:rsidR="008A006E">
        <w:t xml:space="preserve">it is worth mentioning </w:t>
      </w:r>
      <w:r>
        <w:t xml:space="preserve">Alum Rock Union Elementary School District has shown improvement in their students with disability student group. On the California Assessment of Students Performance and Progress (CAASPP) assessments, the proportion of students with disabilities meeting or exceeding standards in English language arts (ELA) increased from </w:t>
      </w:r>
      <w:r w:rsidR="004350DF">
        <w:t>5</w:t>
      </w:r>
      <w:r w:rsidR="006F7423">
        <w:t xml:space="preserve"> </w:t>
      </w:r>
      <w:r>
        <w:t xml:space="preserve">to </w:t>
      </w:r>
      <w:r w:rsidR="004350DF">
        <w:t>7</w:t>
      </w:r>
      <w:r w:rsidR="006F7423">
        <w:t xml:space="preserve"> percent</w:t>
      </w:r>
      <w:r>
        <w:t xml:space="preserve"> in 2019; while the proportion of students with disabilities meeting or exceeding standards in mathematics increased from </w:t>
      </w:r>
      <w:r w:rsidR="004350DF">
        <w:t xml:space="preserve">4 </w:t>
      </w:r>
      <w:r>
        <w:t xml:space="preserve">to </w:t>
      </w:r>
      <w:r w:rsidR="004350DF">
        <w:t>6</w:t>
      </w:r>
      <w:r w:rsidR="00417DD1">
        <w:t xml:space="preserve"> </w:t>
      </w:r>
      <w:r w:rsidR="006F7423">
        <w:t>percent</w:t>
      </w:r>
      <w:r>
        <w:t xml:space="preserve"> in 2019. </w:t>
      </w:r>
    </w:p>
    <w:p w14:paraId="6D27448A" w14:textId="77777777" w:rsidR="00966035" w:rsidRDefault="00966035" w:rsidP="00511C18">
      <w:pPr>
        <w:spacing w:before="240" w:after="240"/>
      </w:pPr>
      <w:r>
        <w:t>To find the impact of its online learning, Santa Clara Equity Lead is design</w:t>
      </w:r>
      <w:r w:rsidR="00564FB3">
        <w:t xml:space="preserve">ing a survey for a follow up inquiry to the educators it served. The survey result will inform year 2 </w:t>
      </w:r>
      <w:r w:rsidR="00B83A4B">
        <w:t>CEPIP activities</w:t>
      </w:r>
      <w:r w:rsidR="00564FB3">
        <w:t>.</w:t>
      </w:r>
      <w:r>
        <w:t xml:space="preserve"> </w:t>
      </w:r>
    </w:p>
    <w:p w14:paraId="167D4292" w14:textId="55D2DCD9" w:rsidR="000664BA" w:rsidRPr="00EC3161" w:rsidRDefault="002B5F30" w:rsidP="00511C18">
      <w:pPr>
        <w:pStyle w:val="Heading2"/>
      </w:pPr>
      <w:bookmarkStart w:id="23" w:name="_Toc46228503"/>
      <w:r>
        <w:t xml:space="preserve">V. </w:t>
      </w:r>
      <w:r w:rsidR="00594C9A">
        <w:t>S</w:t>
      </w:r>
      <w:r w:rsidR="000664BA" w:rsidRPr="00EC3161">
        <w:t>ummary of State-</w:t>
      </w:r>
      <w:r w:rsidR="00594C9A">
        <w:t>l</w:t>
      </w:r>
      <w:r w:rsidR="00564FB3">
        <w:t>evel Activity</w:t>
      </w:r>
      <w:r w:rsidR="000664BA" w:rsidRPr="00EC3161">
        <w:t xml:space="preserve"> to Promote Equity</w:t>
      </w:r>
      <w:bookmarkEnd w:id="23"/>
    </w:p>
    <w:p w14:paraId="5E6F85D2" w14:textId="77777777" w:rsidR="000664BA" w:rsidRDefault="000664BA" w:rsidP="00511C18">
      <w:pPr>
        <w:spacing w:before="240" w:after="240"/>
      </w:pPr>
      <w:r>
        <w:t>The two equity leads, along with the CDE and WestEd collaborated regularly to scale up their work statewide. In addition, the CDE engaged in internal professional learning and collaboration to build capacity following the legislative intent. The state-level activities to promote equity include the following specifics:</w:t>
      </w:r>
    </w:p>
    <w:p w14:paraId="776DBEA0" w14:textId="77777777" w:rsidR="000664BA" w:rsidRDefault="000664BA" w:rsidP="00511C18">
      <w:pPr>
        <w:pStyle w:val="ListParagraph"/>
        <w:numPr>
          <w:ilvl w:val="0"/>
          <w:numId w:val="29"/>
        </w:numPr>
        <w:spacing w:before="240" w:after="240"/>
        <w:ind w:left="720"/>
      </w:pPr>
      <w:r>
        <w:t>Hosting statewide equity conferences</w:t>
      </w:r>
    </w:p>
    <w:p w14:paraId="4836EB33" w14:textId="77777777" w:rsidR="000664BA" w:rsidRDefault="000664BA" w:rsidP="00511C18">
      <w:pPr>
        <w:pStyle w:val="ListParagraph"/>
        <w:numPr>
          <w:ilvl w:val="0"/>
          <w:numId w:val="29"/>
        </w:numPr>
        <w:spacing w:before="240" w:after="240"/>
        <w:ind w:left="720"/>
      </w:pPr>
      <w:r>
        <w:t>Presenting CEPIP work at statewide conferences/venues</w:t>
      </w:r>
    </w:p>
    <w:p w14:paraId="7DE9CCBB" w14:textId="77777777" w:rsidR="000664BA" w:rsidRDefault="000664BA" w:rsidP="00511C18">
      <w:pPr>
        <w:pStyle w:val="ListParagraph"/>
        <w:numPr>
          <w:ilvl w:val="0"/>
          <w:numId w:val="29"/>
        </w:numPr>
        <w:spacing w:before="240" w:after="240"/>
        <w:ind w:left="720"/>
      </w:pPr>
      <w:r>
        <w:t>Posting equity activities and resources online</w:t>
      </w:r>
    </w:p>
    <w:p w14:paraId="0D600D89" w14:textId="77777777" w:rsidR="000664BA" w:rsidRDefault="000664BA" w:rsidP="00511C18">
      <w:pPr>
        <w:pStyle w:val="ListParagraph"/>
        <w:numPr>
          <w:ilvl w:val="0"/>
          <w:numId w:val="29"/>
        </w:numPr>
        <w:spacing w:before="240" w:after="240"/>
        <w:ind w:left="720"/>
      </w:pPr>
      <w:r>
        <w:lastRenderedPageBreak/>
        <w:t>Building capacity at the CDE</w:t>
      </w:r>
    </w:p>
    <w:p w14:paraId="38F3EDF4" w14:textId="399E4F5B" w:rsidR="000664BA" w:rsidRPr="00EA5F14" w:rsidRDefault="000664BA" w:rsidP="00511C18">
      <w:pPr>
        <w:pStyle w:val="Heading3"/>
      </w:pPr>
      <w:bookmarkStart w:id="24" w:name="_Toc46228504"/>
      <w:r w:rsidRPr="00EA5F14">
        <w:t>Hosting Statewide Equity Conferences</w:t>
      </w:r>
      <w:bookmarkEnd w:id="24"/>
    </w:p>
    <w:p w14:paraId="00FC716D" w14:textId="26C5A771" w:rsidR="000664BA" w:rsidRDefault="000664BA" w:rsidP="00511C18">
      <w:pPr>
        <w:spacing w:before="240" w:after="240"/>
      </w:pPr>
      <w:r>
        <w:t xml:space="preserve">Each </w:t>
      </w:r>
      <w:r w:rsidR="00417DD1">
        <w:t>E</w:t>
      </w:r>
      <w:r>
        <w:t xml:space="preserve">quity </w:t>
      </w:r>
      <w:r w:rsidR="00417DD1">
        <w:t>L</w:t>
      </w:r>
      <w:r>
        <w:t xml:space="preserve">ead were required to host an annual statewide equity conference. San Diego COE Equity Lead hosted </w:t>
      </w:r>
      <w:r w:rsidRPr="007734CB">
        <w:t>its Equity Symposium on August 27</w:t>
      </w:r>
      <w:r w:rsidR="00D85351" w:rsidRPr="004E1629">
        <w:rPr>
          <w:rFonts w:cs="Arial"/>
          <w:color w:val="000000"/>
        </w:rPr>
        <w:t>–</w:t>
      </w:r>
      <w:r w:rsidRPr="007734CB">
        <w:t>28, 2018</w:t>
      </w:r>
      <w:r w:rsidR="00417DD1">
        <w:t>,</w:t>
      </w:r>
      <w:r>
        <w:t xml:space="preserve"> in San Diego, CA. </w:t>
      </w:r>
      <w:r w:rsidRPr="007734CB">
        <w:t xml:space="preserve">Santa Clara </w:t>
      </w:r>
      <w:r>
        <w:t xml:space="preserve">COE </w:t>
      </w:r>
      <w:r w:rsidRPr="007734CB">
        <w:t>Equity Lead hosted its Inclusion Collaborative Conference on October 24</w:t>
      </w:r>
      <w:r w:rsidR="00D85351" w:rsidRPr="004E1629">
        <w:rPr>
          <w:rFonts w:cs="Arial"/>
          <w:color w:val="000000"/>
        </w:rPr>
        <w:t>–</w:t>
      </w:r>
      <w:r w:rsidRPr="007734CB">
        <w:t>26,</w:t>
      </w:r>
      <w:r>
        <w:t xml:space="preserve"> 2018</w:t>
      </w:r>
      <w:r w:rsidR="00417DD1">
        <w:t>,</w:t>
      </w:r>
      <w:r>
        <w:t xml:space="preserve"> in San Jose, CA. Table 6 shows the titles, locations, and attendees for each equity conference. </w:t>
      </w:r>
    </w:p>
    <w:p w14:paraId="6F981685" w14:textId="77777777" w:rsidR="000664BA" w:rsidRPr="00C711C2" w:rsidRDefault="000664BA" w:rsidP="00511C18">
      <w:pPr>
        <w:spacing w:after="240"/>
        <w:rPr>
          <w:b/>
        </w:rPr>
      </w:pPr>
      <w:r w:rsidRPr="00C711C2">
        <w:rPr>
          <w:b/>
        </w:rPr>
        <w:t xml:space="preserve">Table </w:t>
      </w:r>
      <w:r w:rsidR="009869C6" w:rsidRPr="00C711C2">
        <w:rPr>
          <w:b/>
        </w:rPr>
        <w:t>6</w:t>
      </w:r>
      <w:r w:rsidRPr="00C711C2">
        <w:rPr>
          <w:b/>
        </w:rPr>
        <w:t xml:space="preserve"> Statewide Equity Conferences Held by Equity Lead Agencies</w:t>
      </w:r>
    </w:p>
    <w:tbl>
      <w:tblPr>
        <w:tblStyle w:val="TableGrid3"/>
        <w:tblW w:w="5000" w:type="pct"/>
        <w:tblLook w:val="04A0" w:firstRow="1" w:lastRow="0" w:firstColumn="1" w:lastColumn="0" w:noHBand="0" w:noVBand="1"/>
        <w:tblDescription w:val=" Table 6 Statewide Equity Conferences Held by Equity Lead Agencies&#10;&#10;"/>
      </w:tblPr>
      <w:tblGrid>
        <w:gridCol w:w="1137"/>
        <w:gridCol w:w="4252"/>
        <w:gridCol w:w="1191"/>
        <w:gridCol w:w="1227"/>
        <w:gridCol w:w="1543"/>
      </w:tblGrid>
      <w:tr w:rsidR="000664BA" w14:paraId="1EB9BB65" w14:textId="77777777" w:rsidTr="00511C18">
        <w:trPr>
          <w:trHeight w:val="720"/>
          <w:tblHeader/>
        </w:trPr>
        <w:tc>
          <w:tcPr>
            <w:tcW w:w="608" w:type="pct"/>
            <w:shd w:val="clear" w:color="auto" w:fill="D9D9D9" w:themeFill="background1" w:themeFillShade="D9"/>
            <w:vAlign w:val="center"/>
            <w:hideMark/>
          </w:tcPr>
          <w:p w14:paraId="38A4E7CD" w14:textId="426475CC" w:rsidR="000664BA" w:rsidRPr="004E1629" w:rsidRDefault="000664BA" w:rsidP="00511C18">
            <w:pPr>
              <w:widowControl/>
              <w:jc w:val="center"/>
              <w:rPr>
                <w:rFonts w:cs="Arial"/>
                <w:b/>
                <w:bCs/>
                <w:snapToGrid/>
              </w:rPr>
            </w:pPr>
            <w:r w:rsidRPr="004E1629">
              <w:rPr>
                <w:rFonts w:cs="Arial"/>
                <w:b/>
                <w:bCs/>
              </w:rPr>
              <w:t>Lead</w:t>
            </w:r>
            <w:r w:rsidR="00511C18">
              <w:rPr>
                <w:rFonts w:cs="Arial"/>
                <w:b/>
                <w:bCs/>
              </w:rPr>
              <w:t xml:space="preserve"> </w:t>
            </w:r>
            <w:r w:rsidRPr="004E1629">
              <w:rPr>
                <w:rFonts w:cs="Arial"/>
                <w:b/>
                <w:bCs/>
              </w:rPr>
              <w:t>Agency</w:t>
            </w:r>
          </w:p>
        </w:tc>
        <w:tc>
          <w:tcPr>
            <w:tcW w:w="2274" w:type="pct"/>
            <w:shd w:val="clear" w:color="auto" w:fill="D9D9D9" w:themeFill="background1" w:themeFillShade="D9"/>
            <w:vAlign w:val="center"/>
            <w:hideMark/>
          </w:tcPr>
          <w:p w14:paraId="295D6FAD" w14:textId="77777777" w:rsidR="000664BA" w:rsidRPr="004E1629" w:rsidRDefault="000664BA" w:rsidP="00511C18">
            <w:pPr>
              <w:jc w:val="center"/>
              <w:rPr>
                <w:rFonts w:cs="Arial"/>
                <w:b/>
                <w:bCs/>
              </w:rPr>
            </w:pPr>
            <w:r w:rsidRPr="004E1629">
              <w:rPr>
                <w:rFonts w:cs="Arial"/>
                <w:b/>
                <w:bCs/>
              </w:rPr>
              <w:t>Conference Title</w:t>
            </w:r>
          </w:p>
        </w:tc>
        <w:tc>
          <w:tcPr>
            <w:tcW w:w="637" w:type="pct"/>
            <w:shd w:val="clear" w:color="auto" w:fill="D9D9D9" w:themeFill="background1" w:themeFillShade="D9"/>
            <w:vAlign w:val="center"/>
            <w:hideMark/>
          </w:tcPr>
          <w:p w14:paraId="00920F47" w14:textId="77777777" w:rsidR="000664BA" w:rsidRPr="004E1629" w:rsidRDefault="000664BA" w:rsidP="00511C18">
            <w:pPr>
              <w:jc w:val="center"/>
              <w:rPr>
                <w:rFonts w:cs="Arial"/>
                <w:b/>
                <w:bCs/>
              </w:rPr>
            </w:pPr>
            <w:r w:rsidRPr="004E1629">
              <w:rPr>
                <w:rFonts w:cs="Arial"/>
                <w:b/>
                <w:bCs/>
              </w:rPr>
              <w:t>Date</w:t>
            </w:r>
          </w:p>
        </w:tc>
        <w:tc>
          <w:tcPr>
            <w:tcW w:w="656" w:type="pct"/>
            <w:shd w:val="clear" w:color="auto" w:fill="D9D9D9" w:themeFill="background1" w:themeFillShade="D9"/>
            <w:vAlign w:val="center"/>
            <w:hideMark/>
          </w:tcPr>
          <w:p w14:paraId="7E60B895" w14:textId="77777777" w:rsidR="000664BA" w:rsidRPr="004E1629" w:rsidRDefault="000664BA" w:rsidP="00511C18">
            <w:pPr>
              <w:jc w:val="center"/>
              <w:rPr>
                <w:rFonts w:cs="Arial"/>
                <w:b/>
                <w:bCs/>
              </w:rPr>
            </w:pPr>
            <w:r w:rsidRPr="004E1629">
              <w:rPr>
                <w:rFonts w:cs="Arial"/>
                <w:b/>
                <w:bCs/>
              </w:rPr>
              <w:t>Location</w:t>
            </w:r>
          </w:p>
        </w:tc>
        <w:tc>
          <w:tcPr>
            <w:tcW w:w="825" w:type="pct"/>
            <w:shd w:val="clear" w:color="auto" w:fill="D9D9D9" w:themeFill="background1" w:themeFillShade="D9"/>
            <w:vAlign w:val="center"/>
          </w:tcPr>
          <w:p w14:paraId="5F962942" w14:textId="77777777" w:rsidR="000664BA" w:rsidRPr="004E1629" w:rsidRDefault="000664BA" w:rsidP="00511C18">
            <w:pPr>
              <w:jc w:val="center"/>
              <w:rPr>
                <w:rFonts w:cs="Arial"/>
                <w:b/>
                <w:bCs/>
              </w:rPr>
            </w:pPr>
            <w:r w:rsidRPr="004E1629">
              <w:rPr>
                <w:rFonts w:cs="Arial"/>
                <w:b/>
                <w:bCs/>
              </w:rPr>
              <w:t>Attendance</w:t>
            </w:r>
          </w:p>
        </w:tc>
      </w:tr>
      <w:tr w:rsidR="000664BA" w14:paraId="5568F151" w14:textId="77777777" w:rsidTr="00511C18">
        <w:trPr>
          <w:trHeight w:val="392"/>
        </w:trPr>
        <w:tc>
          <w:tcPr>
            <w:tcW w:w="608" w:type="pct"/>
            <w:vAlign w:val="center"/>
            <w:hideMark/>
          </w:tcPr>
          <w:p w14:paraId="5656D32D" w14:textId="77777777" w:rsidR="000664BA" w:rsidRPr="004E1629" w:rsidRDefault="000664BA" w:rsidP="00511C18">
            <w:pPr>
              <w:jc w:val="center"/>
              <w:rPr>
                <w:rFonts w:cs="Arial"/>
                <w:color w:val="000000"/>
              </w:rPr>
            </w:pPr>
            <w:r w:rsidRPr="004E1629">
              <w:rPr>
                <w:rFonts w:cs="Arial"/>
                <w:color w:val="000000"/>
              </w:rPr>
              <w:t>San Diego</w:t>
            </w:r>
          </w:p>
        </w:tc>
        <w:tc>
          <w:tcPr>
            <w:tcW w:w="2274" w:type="pct"/>
            <w:vAlign w:val="center"/>
            <w:hideMark/>
          </w:tcPr>
          <w:p w14:paraId="5BF05C1C" w14:textId="501F0F91" w:rsidR="000664BA" w:rsidRPr="004E1629" w:rsidRDefault="000664BA" w:rsidP="00511C18">
            <w:pPr>
              <w:spacing w:before="240" w:after="240"/>
              <w:jc w:val="center"/>
              <w:rPr>
                <w:rFonts w:cs="Arial"/>
                <w:color w:val="000000"/>
              </w:rPr>
            </w:pPr>
            <w:r w:rsidRPr="004E1629">
              <w:rPr>
                <w:rFonts w:cs="Arial"/>
                <w:noProof/>
                <w:color w:val="000000" w:themeColor="text1"/>
              </w:rPr>
              <w:t>Equit</w:t>
            </w:r>
            <w:r w:rsidR="00511C18">
              <w:rPr>
                <w:rFonts w:cs="Arial"/>
                <w:noProof/>
                <w:color w:val="000000" w:themeColor="text1"/>
              </w:rPr>
              <w:t>y</w:t>
            </w:r>
            <w:r w:rsidRPr="004E1629">
              <w:rPr>
                <w:rFonts w:cs="Arial"/>
                <w:noProof/>
                <w:color w:val="000000" w:themeColor="text1"/>
              </w:rPr>
              <w:t xml:space="preserve"> Symposium 2018</w:t>
            </w:r>
          </w:p>
        </w:tc>
        <w:tc>
          <w:tcPr>
            <w:tcW w:w="637" w:type="pct"/>
            <w:vAlign w:val="center"/>
            <w:hideMark/>
          </w:tcPr>
          <w:p w14:paraId="2F0A7431" w14:textId="77777777" w:rsidR="000664BA" w:rsidRPr="004E1629" w:rsidRDefault="000664BA" w:rsidP="00511C18">
            <w:pPr>
              <w:jc w:val="center"/>
              <w:rPr>
                <w:rFonts w:cs="Arial"/>
                <w:color w:val="000000"/>
              </w:rPr>
            </w:pPr>
            <w:r w:rsidRPr="004E1629">
              <w:rPr>
                <w:rFonts w:cs="Arial"/>
                <w:color w:val="000000"/>
              </w:rPr>
              <w:t>August 27–28, 2018</w:t>
            </w:r>
          </w:p>
        </w:tc>
        <w:tc>
          <w:tcPr>
            <w:tcW w:w="656" w:type="pct"/>
            <w:vAlign w:val="center"/>
            <w:hideMark/>
          </w:tcPr>
          <w:p w14:paraId="3F18435C" w14:textId="77777777" w:rsidR="000664BA" w:rsidRPr="004E1629" w:rsidRDefault="000664BA" w:rsidP="00511C18">
            <w:pPr>
              <w:jc w:val="center"/>
              <w:rPr>
                <w:rFonts w:cs="Arial"/>
                <w:color w:val="000000"/>
              </w:rPr>
            </w:pPr>
            <w:r w:rsidRPr="004E1629">
              <w:rPr>
                <w:rFonts w:cs="Arial"/>
                <w:color w:val="000000"/>
              </w:rPr>
              <w:t>San Diego</w:t>
            </w:r>
          </w:p>
        </w:tc>
        <w:tc>
          <w:tcPr>
            <w:tcW w:w="825" w:type="pct"/>
            <w:vAlign w:val="center"/>
          </w:tcPr>
          <w:p w14:paraId="20DCE5CF" w14:textId="77777777" w:rsidR="000664BA" w:rsidRPr="004E1629" w:rsidRDefault="000664BA" w:rsidP="00511C18">
            <w:pPr>
              <w:jc w:val="center"/>
              <w:rPr>
                <w:rFonts w:cs="Arial"/>
                <w:color w:val="000000"/>
              </w:rPr>
            </w:pPr>
            <w:r w:rsidRPr="004E1629">
              <w:rPr>
                <w:rFonts w:cs="Arial"/>
                <w:color w:val="000000"/>
              </w:rPr>
              <w:t>500</w:t>
            </w:r>
          </w:p>
        </w:tc>
      </w:tr>
      <w:tr w:rsidR="000664BA" w14:paraId="6DDA7E0E" w14:textId="77777777" w:rsidTr="00511C18">
        <w:trPr>
          <w:trHeight w:val="254"/>
        </w:trPr>
        <w:tc>
          <w:tcPr>
            <w:tcW w:w="608" w:type="pct"/>
            <w:vAlign w:val="center"/>
            <w:hideMark/>
          </w:tcPr>
          <w:p w14:paraId="35FE9654" w14:textId="77777777" w:rsidR="000664BA" w:rsidRPr="004E1629" w:rsidRDefault="000664BA" w:rsidP="00511C18">
            <w:pPr>
              <w:jc w:val="center"/>
              <w:rPr>
                <w:rFonts w:cs="Arial"/>
                <w:color w:val="000000"/>
              </w:rPr>
            </w:pPr>
            <w:r w:rsidRPr="004E1629">
              <w:rPr>
                <w:rFonts w:cs="Arial"/>
                <w:color w:val="000000"/>
              </w:rPr>
              <w:t>Santa Clara</w:t>
            </w:r>
          </w:p>
        </w:tc>
        <w:tc>
          <w:tcPr>
            <w:tcW w:w="2274" w:type="pct"/>
            <w:vAlign w:val="center"/>
            <w:hideMark/>
          </w:tcPr>
          <w:p w14:paraId="02D9EF8F" w14:textId="02EDFBCA" w:rsidR="000664BA" w:rsidRPr="004E1629" w:rsidRDefault="000664BA" w:rsidP="00511C18">
            <w:pPr>
              <w:spacing w:before="240" w:after="240"/>
              <w:jc w:val="center"/>
              <w:rPr>
                <w:rFonts w:cs="Arial"/>
              </w:rPr>
            </w:pPr>
            <w:r w:rsidRPr="004E1629">
              <w:rPr>
                <w:rFonts w:cs="Arial"/>
              </w:rPr>
              <w:t xml:space="preserve">Inclusioneers Unite: </w:t>
            </w:r>
            <w:r w:rsidR="00511C18">
              <w:rPr>
                <w:rFonts w:cs="Arial"/>
              </w:rPr>
              <w:t>(</w:t>
            </w:r>
            <w:hyperlink r:id="rId33" w:history="1">
              <w:r w:rsidR="00511C18" w:rsidRPr="0055086D">
                <w:rPr>
                  <w:rStyle w:val="Hyperlink"/>
                  <w:rFonts w:eastAsiaTheme="majorEastAsia" w:cs="Arial"/>
                </w:rPr>
                <w:t>https://2018inclusioncollaborative</w:t>
              </w:r>
              <w:r w:rsidR="00511C18" w:rsidRPr="0055086D">
                <w:rPr>
                  <w:rStyle w:val="Hyperlink"/>
                  <w:rFonts w:eastAsiaTheme="majorEastAsia" w:cs="Arial"/>
                </w:rPr>
                <w:br/>
                <w:t>statec.sched.com/</w:t>
              </w:r>
            </w:hyperlink>
            <w:r w:rsidRPr="004E1629">
              <w:rPr>
                <w:rFonts w:cs="Arial"/>
              </w:rPr>
              <w:t>)</w:t>
            </w:r>
          </w:p>
        </w:tc>
        <w:tc>
          <w:tcPr>
            <w:tcW w:w="637" w:type="pct"/>
            <w:vAlign w:val="center"/>
            <w:hideMark/>
          </w:tcPr>
          <w:p w14:paraId="7DC7E8A8" w14:textId="77777777" w:rsidR="000664BA" w:rsidRPr="004E1629" w:rsidRDefault="000664BA" w:rsidP="00511C18">
            <w:pPr>
              <w:jc w:val="center"/>
              <w:rPr>
                <w:rFonts w:cs="Arial"/>
                <w:color w:val="000000"/>
              </w:rPr>
            </w:pPr>
            <w:r w:rsidRPr="004E1629">
              <w:rPr>
                <w:rFonts w:cs="Arial"/>
                <w:color w:val="000000"/>
              </w:rPr>
              <w:t>October 24–26, 2018</w:t>
            </w:r>
          </w:p>
        </w:tc>
        <w:tc>
          <w:tcPr>
            <w:tcW w:w="656" w:type="pct"/>
            <w:vAlign w:val="center"/>
            <w:hideMark/>
          </w:tcPr>
          <w:p w14:paraId="79357F93" w14:textId="77777777" w:rsidR="000664BA" w:rsidRPr="004E1629" w:rsidRDefault="000664BA" w:rsidP="00511C18">
            <w:pPr>
              <w:jc w:val="center"/>
              <w:rPr>
                <w:rFonts w:cs="Arial"/>
                <w:color w:val="000000"/>
              </w:rPr>
            </w:pPr>
            <w:r w:rsidRPr="004E1629">
              <w:rPr>
                <w:rFonts w:cs="Arial"/>
                <w:color w:val="000000"/>
              </w:rPr>
              <w:t>San Jose</w:t>
            </w:r>
          </w:p>
        </w:tc>
        <w:tc>
          <w:tcPr>
            <w:tcW w:w="825" w:type="pct"/>
            <w:vAlign w:val="center"/>
          </w:tcPr>
          <w:p w14:paraId="146C15A1" w14:textId="77777777" w:rsidR="000664BA" w:rsidRPr="004E1629" w:rsidRDefault="000664BA" w:rsidP="00511C18">
            <w:pPr>
              <w:spacing w:after="240"/>
              <w:jc w:val="center"/>
              <w:rPr>
                <w:rFonts w:cs="Arial"/>
                <w:color w:val="000000"/>
              </w:rPr>
            </w:pPr>
            <w:r w:rsidRPr="004E1629">
              <w:rPr>
                <w:rFonts w:cs="Arial"/>
                <w:color w:val="000000"/>
              </w:rPr>
              <w:t>370 in person</w:t>
            </w:r>
          </w:p>
          <w:p w14:paraId="11867245" w14:textId="77777777" w:rsidR="000664BA" w:rsidRPr="004E1629" w:rsidRDefault="000664BA" w:rsidP="00511C18">
            <w:pPr>
              <w:jc w:val="center"/>
              <w:rPr>
                <w:rFonts w:cs="Arial"/>
                <w:color w:val="000000"/>
              </w:rPr>
            </w:pPr>
            <w:r w:rsidRPr="004E1629">
              <w:rPr>
                <w:rFonts w:cs="Arial"/>
                <w:color w:val="000000"/>
              </w:rPr>
              <w:t>30 virtual sites</w:t>
            </w:r>
          </w:p>
        </w:tc>
      </w:tr>
    </w:tbl>
    <w:p w14:paraId="7222D9BE" w14:textId="2AC1A756" w:rsidR="000664BA" w:rsidRPr="00EA5F14" w:rsidRDefault="000664BA" w:rsidP="00511C18">
      <w:pPr>
        <w:pStyle w:val="Heading4"/>
      </w:pPr>
      <w:r w:rsidRPr="00EA5F14">
        <w:t>Presenting CEPIP Work at Statewide Conferences/Venues</w:t>
      </w:r>
    </w:p>
    <w:p w14:paraId="3E083533" w14:textId="77777777" w:rsidR="000664BA" w:rsidRPr="000F2B4F" w:rsidRDefault="000664BA" w:rsidP="00511C18">
      <w:pPr>
        <w:spacing w:before="240" w:after="240"/>
      </w:pPr>
      <w:r>
        <w:t>The CEPIP Lead Agencies took many opportunities to share their work through a variety of speaking engagements at statewide conferences or venues. These efforts include presenting at the CDE’s Title I Conference, CDE’s State and Federal Program Directors’ meetin</w:t>
      </w:r>
      <w:r w:rsidRPr="004E1629">
        <w:t>g</w:t>
      </w:r>
      <w:r>
        <w:t xml:space="preserve">, and State Board of Education Meetings. </w:t>
      </w:r>
    </w:p>
    <w:p w14:paraId="5BEDC403" w14:textId="6D2C7407" w:rsidR="000664BA" w:rsidRPr="00EA5F14" w:rsidRDefault="000664BA" w:rsidP="00511C18">
      <w:pPr>
        <w:pStyle w:val="Heading4"/>
      </w:pPr>
      <w:r w:rsidRPr="00EA5F14">
        <w:t>Posting Equity Activities and Resources Online</w:t>
      </w:r>
    </w:p>
    <w:p w14:paraId="4B8582CD" w14:textId="77777777" w:rsidR="00007ED1" w:rsidRDefault="000664BA" w:rsidP="00511C18">
      <w:pPr>
        <w:spacing w:before="240" w:after="240"/>
      </w:pPr>
      <w:r>
        <w:t xml:space="preserve">Each </w:t>
      </w:r>
      <w:r w:rsidR="00417DD1">
        <w:t>E</w:t>
      </w:r>
      <w:r>
        <w:t xml:space="preserve">quity </w:t>
      </w:r>
      <w:r w:rsidR="00417DD1">
        <w:t>L</w:t>
      </w:r>
      <w:r>
        <w:t>ead and the CDE built a CEPIP web page on their respective web sites to share its activities and resources. Table 7 shows the equity web</w:t>
      </w:r>
      <w:r w:rsidR="00417DD1">
        <w:t xml:space="preserve"> </w:t>
      </w:r>
      <w:r>
        <w:t>pages that contribute to the work of the CEPIP activities.</w:t>
      </w:r>
      <w:r w:rsidR="00007ED1">
        <w:br w:type="page"/>
      </w:r>
    </w:p>
    <w:p w14:paraId="5BF7D8E6" w14:textId="77777777" w:rsidR="000664BA" w:rsidRPr="003A2EC0" w:rsidRDefault="000664BA" w:rsidP="00511C18">
      <w:pPr>
        <w:spacing w:before="240" w:after="240"/>
        <w:rPr>
          <w:b/>
        </w:rPr>
      </w:pPr>
      <w:r w:rsidRPr="003A2EC0">
        <w:rPr>
          <w:b/>
        </w:rPr>
        <w:lastRenderedPageBreak/>
        <w:t>Table</w:t>
      </w:r>
      <w:r w:rsidR="001B5C16">
        <w:rPr>
          <w:b/>
        </w:rPr>
        <w:t xml:space="preserve"> </w:t>
      </w:r>
      <w:r w:rsidR="009869C6">
        <w:rPr>
          <w:b/>
        </w:rPr>
        <w:t>7</w:t>
      </w:r>
      <w:r w:rsidRPr="003A2EC0">
        <w:rPr>
          <w:b/>
        </w:rPr>
        <w:t xml:space="preserve"> CEPIP Web Pages of Equity Leads and the CDE’s</w:t>
      </w:r>
    </w:p>
    <w:tbl>
      <w:tblPr>
        <w:tblStyle w:val="TableGrid3"/>
        <w:tblW w:w="5000" w:type="pct"/>
        <w:tblLook w:val="04A0" w:firstRow="1" w:lastRow="0" w:firstColumn="1" w:lastColumn="0" w:noHBand="0" w:noVBand="1"/>
        <w:tblDescription w:val="Table 7 CEPIP Web Pages of Equity Leads and the CDE’s"/>
      </w:tblPr>
      <w:tblGrid>
        <w:gridCol w:w="1083"/>
        <w:gridCol w:w="3489"/>
        <w:gridCol w:w="4778"/>
      </w:tblGrid>
      <w:tr w:rsidR="000664BA" w:rsidRPr="004E1629" w14:paraId="7463A200" w14:textId="77777777" w:rsidTr="00511C18">
        <w:trPr>
          <w:trHeight w:val="623"/>
          <w:tblHeader/>
        </w:trPr>
        <w:tc>
          <w:tcPr>
            <w:tcW w:w="534" w:type="pct"/>
            <w:shd w:val="clear" w:color="auto" w:fill="D9D9D9" w:themeFill="background1" w:themeFillShade="D9"/>
            <w:vAlign w:val="center"/>
            <w:hideMark/>
          </w:tcPr>
          <w:p w14:paraId="4E48D502" w14:textId="77777777" w:rsidR="000664BA" w:rsidRPr="004E1629" w:rsidRDefault="000664BA" w:rsidP="00511C18">
            <w:pPr>
              <w:widowControl/>
              <w:jc w:val="center"/>
              <w:rPr>
                <w:rFonts w:cs="Arial"/>
                <w:b/>
                <w:bCs/>
                <w:snapToGrid/>
                <w:szCs w:val="24"/>
              </w:rPr>
            </w:pPr>
            <w:r>
              <w:rPr>
                <w:rFonts w:cs="Arial"/>
                <w:b/>
                <w:bCs/>
                <w:snapToGrid/>
                <w:szCs w:val="24"/>
              </w:rPr>
              <w:t>Agency</w:t>
            </w:r>
          </w:p>
        </w:tc>
        <w:tc>
          <w:tcPr>
            <w:tcW w:w="1703" w:type="pct"/>
            <w:shd w:val="clear" w:color="auto" w:fill="D9D9D9" w:themeFill="background1" w:themeFillShade="D9"/>
            <w:vAlign w:val="center"/>
            <w:hideMark/>
          </w:tcPr>
          <w:p w14:paraId="5B208551" w14:textId="77777777" w:rsidR="000664BA" w:rsidRPr="004E1629" w:rsidRDefault="000664BA" w:rsidP="00511C18">
            <w:pPr>
              <w:widowControl/>
              <w:jc w:val="center"/>
              <w:rPr>
                <w:rFonts w:cs="Arial"/>
                <w:b/>
                <w:bCs/>
                <w:snapToGrid/>
                <w:szCs w:val="24"/>
              </w:rPr>
            </w:pPr>
            <w:r w:rsidRPr="004E1629">
              <w:rPr>
                <w:rFonts w:cs="Arial"/>
                <w:b/>
                <w:bCs/>
                <w:snapToGrid/>
                <w:szCs w:val="24"/>
              </w:rPr>
              <w:t>Contact Information</w:t>
            </w:r>
          </w:p>
        </w:tc>
        <w:tc>
          <w:tcPr>
            <w:tcW w:w="2764" w:type="pct"/>
            <w:shd w:val="clear" w:color="auto" w:fill="D9D9D9" w:themeFill="background1" w:themeFillShade="D9"/>
            <w:vAlign w:val="center"/>
            <w:hideMark/>
          </w:tcPr>
          <w:p w14:paraId="09A75B3B" w14:textId="77777777" w:rsidR="000664BA" w:rsidRPr="004E1629" w:rsidRDefault="000664BA" w:rsidP="00511C18">
            <w:pPr>
              <w:widowControl/>
              <w:jc w:val="center"/>
              <w:rPr>
                <w:rFonts w:cs="Arial"/>
                <w:b/>
                <w:bCs/>
                <w:snapToGrid/>
                <w:szCs w:val="24"/>
              </w:rPr>
            </w:pPr>
            <w:r w:rsidRPr="004E1629">
              <w:rPr>
                <w:rFonts w:cs="Arial"/>
                <w:b/>
                <w:bCs/>
                <w:snapToGrid/>
                <w:szCs w:val="24"/>
              </w:rPr>
              <w:t>Homepage</w:t>
            </w:r>
          </w:p>
        </w:tc>
      </w:tr>
      <w:tr w:rsidR="000664BA" w:rsidRPr="004E1629" w14:paraId="19B36804" w14:textId="77777777" w:rsidTr="00511C18">
        <w:trPr>
          <w:trHeight w:val="1305"/>
        </w:trPr>
        <w:tc>
          <w:tcPr>
            <w:tcW w:w="534" w:type="pct"/>
            <w:vAlign w:val="center"/>
            <w:hideMark/>
          </w:tcPr>
          <w:p w14:paraId="2D4AC35A" w14:textId="77777777" w:rsidR="000664BA" w:rsidRPr="004E1629" w:rsidRDefault="000664BA" w:rsidP="00511C18">
            <w:pPr>
              <w:widowControl/>
              <w:jc w:val="center"/>
              <w:rPr>
                <w:rFonts w:cs="Arial"/>
                <w:snapToGrid/>
                <w:color w:val="000000"/>
                <w:szCs w:val="24"/>
              </w:rPr>
            </w:pPr>
            <w:r w:rsidRPr="004E1629">
              <w:rPr>
                <w:rFonts w:cs="Arial"/>
                <w:snapToGrid/>
                <w:color w:val="000000"/>
                <w:szCs w:val="24"/>
              </w:rPr>
              <w:t xml:space="preserve">San Diego </w:t>
            </w:r>
            <w:r>
              <w:rPr>
                <w:rFonts w:cs="Arial"/>
                <w:snapToGrid/>
                <w:color w:val="000000"/>
                <w:szCs w:val="24"/>
              </w:rPr>
              <w:t>Lead</w:t>
            </w:r>
          </w:p>
        </w:tc>
        <w:tc>
          <w:tcPr>
            <w:tcW w:w="1703" w:type="pct"/>
            <w:vAlign w:val="center"/>
            <w:hideMark/>
          </w:tcPr>
          <w:p w14:paraId="437B36A4" w14:textId="77777777" w:rsidR="00511C18" w:rsidRDefault="000664BA" w:rsidP="00511C18">
            <w:pPr>
              <w:widowControl/>
              <w:jc w:val="center"/>
              <w:rPr>
                <w:rFonts w:cs="Arial"/>
                <w:snapToGrid/>
                <w:color w:val="000000"/>
                <w:szCs w:val="24"/>
              </w:rPr>
            </w:pPr>
            <w:proofErr w:type="spellStart"/>
            <w:r w:rsidRPr="004E1629">
              <w:rPr>
                <w:rFonts w:cs="Arial"/>
                <w:snapToGrid/>
                <w:color w:val="000000"/>
                <w:szCs w:val="24"/>
              </w:rPr>
              <w:t>Jaguanana</w:t>
            </w:r>
            <w:proofErr w:type="spellEnd"/>
            <w:r w:rsidRPr="004E1629">
              <w:rPr>
                <w:rFonts w:cs="Arial"/>
                <w:snapToGrid/>
                <w:color w:val="000000"/>
                <w:szCs w:val="24"/>
              </w:rPr>
              <w:t xml:space="preserve"> Lathan, </w:t>
            </w:r>
            <w:r>
              <w:rPr>
                <w:rFonts w:cs="Arial"/>
                <w:snapToGrid/>
                <w:color w:val="000000"/>
                <w:szCs w:val="24"/>
              </w:rPr>
              <w:t xml:space="preserve">CEPIP </w:t>
            </w:r>
            <w:r w:rsidRPr="004E1629">
              <w:rPr>
                <w:rFonts w:cs="Arial"/>
                <w:snapToGrid/>
                <w:color w:val="000000"/>
                <w:szCs w:val="24"/>
              </w:rPr>
              <w:t>Director</w:t>
            </w:r>
          </w:p>
          <w:p w14:paraId="05C4C452" w14:textId="77777777" w:rsidR="00511C18" w:rsidRDefault="000664BA" w:rsidP="00511C18">
            <w:pPr>
              <w:widowControl/>
              <w:jc w:val="center"/>
              <w:rPr>
                <w:rFonts w:cs="Arial"/>
                <w:snapToGrid/>
                <w:color w:val="000000"/>
                <w:szCs w:val="24"/>
              </w:rPr>
            </w:pPr>
            <w:r w:rsidRPr="004E1629">
              <w:rPr>
                <w:rFonts w:cs="Arial"/>
                <w:snapToGrid/>
                <w:color w:val="000000"/>
                <w:szCs w:val="24"/>
              </w:rPr>
              <w:t>858-292-3788</w:t>
            </w:r>
          </w:p>
          <w:p w14:paraId="28351629" w14:textId="42F9D748" w:rsidR="000664BA" w:rsidRPr="004E1629" w:rsidRDefault="009554AF" w:rsidP="00511C18">
            <w:pPr>
              <w:widowControl/>
              <w:jc w:val="center"/>
              <w:rPr>
                <w:rFonts w:cs="Arial"/>
                <w:snapToGrid/>
                <w:color w:val="000000"/>
                <w:szCs w:val="24"/>
              </w:rPr>
            </w:pPr>
            <w:hyperlink r:id="rId34" w:history="1">
              <w:r w:rsidR="000664BA" w:rsidRPr="004E1629">
                <w:rPr>
                  <w:rFonts w:cs="Arial"/>
                  <w:snapToGrid/>
                  <w:color w:val="0000FF"/>
                  <w:szCs w:val="24"/>
                  <w:u w:val="single"/>
                </w:rPr>
                <w:t>Jaguanana.Lathan@sdcoe.net</w:t>
              </w:r>
            </w:hyperlink>
          </w:p>
        </w:tc>
        <w:tc>
          <w:tcPr>
            <w:tcW w:w="2764" w:type="pct"/>
            <w:vAlign w:val="center"/>
            <w:hideMark/>
          </w:tcPr>
          <w:p w14:paraId="179FDACB" w14:textId="77777777" w:rsidR="000664BA" w:rsidRDefault="000664BA" w:rsidP="00511C18">
            <w:pPr>
              <w:widowControl/>
              <w:spacing w:after="240"/>
              <w:jc w:val="center"/>
              <w:rPr>
                <w:rFonts w:cs="Arial"/>
                <w:snapToGrid/>
                <w:color w:val="000000"/>
                <w:szCs w:val="24"/>
              </w:rPr>
            </w:pPr>
            <w:r>
              <w:rPr>
                <w:rFonts w:cs="Arial"/>
                <w:snapToGrid/>
                <w:color w:val="000000"/>
                <w:szCs w:val="24"/>
              </w:rPr>
              <w:t>San Diego COE Equity Grant Homepage</w:t>
            </w:r>
          </w:p>
          <w:p w14:paraId="6A99648D" w14:textId="6BA5AF97" w:rsidR="000664BA" w:rsidRPr="004E1629" w:rsidRDefault="009554AF" w:rsidP="00511C18">
            <w:pPr>
              <w:widowControl/>
              <w:jc w:val="center"/>
              <w:rPr>
                <w:rFonts w:cs="Arial"/>
                <w:snapToGrid/>
                <w:color w:val="000000"/>
                <w:szCs w:val="24"/>
              </w:rPr>
            </w:pPr>
            <w:hyperlink r:id="rId35" w:history="1">
              <w:r w:rsidR="00511C18" w:rsidRPr="0055086D">
                <w:rPr>
                  <w:rStyle w:val="Hyperlink"/>
                  <w:rFonts w:eastAsiaTheme="majorEastAsia" w:cs="Arial"/>
                  <w:snapToGrid/>
                  <w:szCs w:val="24"/>
                </w:rPr>
                <w:t>https://www.sdcoe.net/lls/equity/</w:t>
              </w:r>
              <w:r w:rsidR="00511C18" w:rsidRPr="0055086D">
                <w:rPr>
                  <w:rStyle w:val="Hyperlink"/>
                  <w:rFonts w:eastAsiaTheme="majorEastAsia" w:cs="Arial"/>
                  <w:snapToGrid/>
                  <w:szCs w:val="24"/>
                </w:rPr>
                <w:br/>
                <w:t>Pages/default.aspx</w:t>
              </w:r>
            </w:hyperlink>
          </w:p>
        </w:tc>
      </w:tr>
      <w:tr w:rsidR="000664BA" w:rsidRPr="004E1629" w14:paraId="5050EEA9" w14:textId="77777777" w:rsidTr="00511C18">
        <w:trPr>
          <w:trHeight w:val="1469"/>
        </w:trPr>
        <w:tc>
          <w:tcPr>
            <w:tcW w:w="534" w:type="pct"/>
            <w:vAlign w:val="center"/>
            <w:hideMark/>
          </w:tcPr>
          <w:p w14:paraId="12AA1F6C" w14:textId="77777777" w:rsidR="000664BA" w:rsidRPr="004E1629" w:rsidRDefault="000664BA" w:rsidP="00511C18">
            <w:pPr>
              <w:widowControl/>
              <w:jc w:val="center"/>
              <w:rPr>
                <w:rFonts w:cs="Arial"/>
                <w:snapToGrid/>
                <w:color w:val="000000"/>
                <w:szCs w:val="24"/>
              </w:rPr>
            </w:pPr>
            <w:r>
              <w:rPr>
                <w:rFonts w:cs="Arial"/>
                <w:snapToGrid/>
                <w:color w:val="000000"/>
                <w:szCs w:val="24"/>
              </w:rPr>
              <w:t>Santa Clara Lead</w:t>
            </w:r>
          </w:p>
        </w:tc>
        <w:tc>
          <w:tcPr>
            <w:tcW w:w="1703" w:type="pct"/>
            <w:vAlign w:val="center"/>
            <w:hideMark/>
          </w:tcPr>
          <w:p w14:paraId="23842E07" w14:textId="77777777" w:rsidR="000664BA" w:rsidRPr="004E1629" w:rsidRDefault="000664BA" w:rsidP="00511C18">
            <w:pPr>
              <w:widowControl/>
              <w:jc w:val="center"/>
              <w:rPr>
                <w:rFonts w:cs="Arial"/>
                <w:snapToGrid/>
                <w:color w:val="000000"/>
                <w:szCs w:val="24"/>
              </w:rPr>
            </w:pPr>
            <w:r w:rsidRPr="004E1629">
              <w:rPr>
                <w:rFonts w:cs="Arial"/>
                <w:snapToGrid/>
                <w:color w:val="000000"/>
                <w:szCs w:val="24"/>
              </w:rPr>
              <w:t>Kathy Wahl,</w:t>
            </w:r>
            <w:r>
              <w:rPr>
                <w:rFonts w:cs="Arial"/>
                <w:snapToGrid/>
                <w:color w:val="000000"/>
                <w:szCs w:val="24"/>
              </w:rPr>
              <w:t xml:space="preserve"> CEPIP</w:t>
            </w:r>
            <w:r w:rsidRPr="004E1629">
              <w:rPr>
                <w:rFonts w:cs="Arial"/>
                <w:snapToGrid/>
                <w:color w:val="000000"/>
                <w:szCs w:val="24"/>
              </w:rPr>
              <w:t xml:space="preserve"> Director</w:t>
            </w:r>
            <w:r w:rsidRPr="004E1629">
              <w:rPr>
                <w:rFonts w:cs="Arial"/>
                <w:snapToGrid/>
                <w:color w:val="000000"/>
                <w:szCs w:val="24"/>
              </w:rPr>
              <w:br/>
              <w:t>408-453-6554</w:t>
            </w:r>
            <w:r w:rsidRPr="004E1629">
              <w:rPr>
                <w:rFonts w:cs="Arial"/>
                <w:snapToGrid/>
                <w:color w:val="000000"/>
                <w:szCs w:val="24"/>
              </w:rPr>
              <w:br/>
            </w:r>
            <w:hyperlink r:id="rId36" w:history="1">
              <w:r w:rsidRPr="004E1629">
                <w:rPr>
                  <w:rFonts w:cs="Arial"/>
                  <w:snapToGrid/>
                  <w:color w:val="0000FF"/>
                  <w:szCs w:val="24"/>
                  <w:u w:val="single"/>
                </w:rPr>
                <w:t>Kathy_Wahl@sccoe.org</w:t>
              </w:r>
            </w:hyperlink>
          </w:p>
        </w:tc>
        <w:tc>
          <w:tcPr>
            <w:tcW w:w="2764" w:type="pct"/>
            <w:vAlign w:val="center"/>
            <w:hideMark/>
          </w:tcPr>
          <w:p w14:paraId="20E69A70" w14:textId="77777777" w:rsidR="000664BA" w:rsidRDefault="000664BA" w:rsidP="00511C18">
            <w:pPr>
              <w:widowControl/>
              <w:spacing w:after="240"/>
              <w:jc w:val="center"/>
              <w:rPr>
                <w:rFonts w:cs="Arial"/>
                <w:snapToGrid/>
                <w:color w:val="000000"/>
                <w:szCs w:val="24"/>
              </w:rPr>
            </w:pPr>
            <w:r>
              <w:rPr>
                <w:rFonts w:cs="Arial"/>
                <w:snapToGrid/>
                <w:color w:val="000000"/>
                <w:szCs w:val="24"/>
              </w:rPr>
              <w:t>California 1: Highway to Success for All Homepage</w:t>
            </w:r>
          </w:p>
          <w:p w14:paraId="49BF70A3" w14:textId="0C77934C" w:rsidR="000664BA" w:rsidRPr="004E1629" w:rsidRDefault="009554AF" w:rsidP="00511C18">
            <w:pPr>
              <w:widowControl/>
              <w:jc w:val="center"/>
              <w:rPr>
                <w:rFonts w:cs="Arial"/>
                <w:snapToGrid/>
                <w:color w:val="000000"/>
                <w:szCs w:val="24"/>
              </w:rPr>
            </w:pPr>
            <w:hyperlink r:id="rId37" w:history="1">
              <w:r w:rsidR="00511C18" w:rsidRPr="0055086D">
                <w:rPr>
                  <w:rStyle w:val="Hyperlink"/>
                  <w:rFonts w:eastAsiaTheme="majorEastAsia" w:cs="Arial"/>
                  <w:snapToGrid/>
                  <w:szCs w:val="24"/>
                </w:rPr>
                <w:t>http://www.inclusion</w:t>
              </w:r>
              <w:r w:rsidR="00511C18" w:rsidRPr="0055086D">
                <w:rPr>
                  <w:rStyle w:val="Hyperlink"/>
                  <w:rFonts w:eastAsiaTheme="majorEastAsia" w:cs="Arial"/>
                  <w:snapToGrid/>
                  <w:szCs w:val="24"/>
                </w:rPr>
                <w:br/>
                <w:t>collaborative.org/cepip.aspx</w:t>
              </w:r>
            </w:hyperlink>
          </w:p>
        </w:tc>
      </w:tr>
      <w:tr w:rsidR="00BD7C5F" w:rsidRPr="004E1629" w14:paraId="1270F5FB" w14:textId="77777777" w:rsidTr="00511C18">
        <w:trPr>
          <w:trHeight w:val="2447"/>
        </w:trPr>
        <w:tc>
          <w:tcPr>
            <w:tcW w:w="534" w:type="pct"/>
            <w:vAlign w:val="center"/>
          </w:tcPr>
          <w:p w14:paraId="4BE0B43E" w14:textId="77777777" w:rsidR="00BD7C5F" w:rsidRDefault="00BD7C5F" w:rsidP="00511C18">
            <w:pPr>
              <w:widowControl/>
              <w:jc w:val="center"/>
              <w:rPr>
                <w:rFonts w:cs="Arial"/>
                <w:snapToGrid/>
                <w:color w:val="000000"/>
                <w:szCs w:val="24"/>
              </w:rPr>
            </w:pPr>
            <w:r>
              <w:rPr>
                <w:rFonts w:cs="Arial"/>
                <w:snapToGrid/>
                <w:color w:val="000000"/>
                <w:szCs w:val="24"/>
              </w:rPr>
              <w:t>CDE</w:t>
            </w:r>
          </w:p>
        </w:tc>
        <w:tc>
          <w:tcPr>
            <w:tcW w:w="1703" w:type="pct"/>
            <w:vAlign w:val="center"/>
          </w:tcPr>
          <w:p w14:paraId="7FEBE829" w14:textId="77777777" w:rsidR="00BD7C5F" w:rsidRDefault="00BD7C5F" w:rsidP="00511C18">
            <w:pPr>
              <w:jc w:val="center"/>
            </w:pPr>
            <w:r>
              <w:t>Jane Liang, CEPIP Consultant</w:t>
            </w:r>
          </w:p>
          <w:p w14:paraId="183669CE" w14:textId="77777777" w:rsidR="00BD7C5F" w:rsidRDefault="00BD7C5F" w:rsidP="00511C18">
            <w:pPr>
              <w:jc w:val="center"/>
            </w:pPr>
            <w:r>
              <w:t>916-319-0835</w:t>
            </w:r>
          </w:p>
          <w:p w14:paraId="7A85AF84" w14:textId="77777777" w:rsidR="00BD7C5F" w:rsidRDefault="009554AF" w:rsidP="00511C18">
            <w:pPr>
              <w:spacing w:after="240"/>
              <w:jc w:val="center"/>
            </w:pPr>
            <w:hyperlink r:id="rId38" w:history="1">
              <w:r w:rsidR="00BD7C5F" w:rsidRPr="00A7681E">
                <w:rPr>
                  <w:rStyle w:val="Hyperlink"/>
                  <w:rFonts w:eastAsiaTheme="majorEastAsia"/>
                </w:rPr>
                <w:t>Jliang@cde.ca.gov</w:t>
              </w:r>
            </w:hyperlink>
          </w:p>
          <w:p w14:paraId="493C8635" w14:textId="77777777" w:rsidR="00BD7C5F" w:rsidRDefault="00BD7C5F" w:rsidP="00511C18">
            <w:pPr>
              <w:jc w:val="center"/>
            </w:pPr>
            <w:r>
              <w:t>Susan Meyers, CEPIP Fiscal Analyst</w:t>
            </w:r>
          </w:p>
          <w:p w14:paraId="31F57AE4" w14:textId="77777777" w:rsidR="00BD7C5F" w:rsidRDefault="00BD7C5F" w:rsidP="00511C18">
            <w:pPr>
              <w:jc w:val="center"/>
            </w:pPr>
            <w:r>
              <w:t>916-319-0652</w:t>
            </w:r>
          </w:p>
          <w:p w14:paraId="71794617" w14:textId="4FDA6560" w:rsidR="00BD7C5F" w:rsidRPr="004E1629" w:rsidRDefault="009554AF" w:rsidP="00511C18">
            <w:pPr>
              <w:jc w:val="center"/>
              <w:rPr>
                <w:rFonts w:cs="Arial"/>
                <w:snapToGrid/>
                <w:color w:val="000000"/>
                <w:szCs w:val="24"/>
              </w:rPr>
            </w:pPr>
            <w:hyperlink r:id="rId39" w:history="1">
              <w:r w:rsidR="00BD7C5F" w:rsidRPr="00A7681E">
                <w:rPr>
                  <w:rStyle w:val="Hyperlink"/>
                  <w:rFonts w:eastAsiaTheme="majorEastAsia"/>
                </w:rPr>
                <w:t>Sumeyers@cde.ca.gov</w:t>
              </w:r>
            </w:hyperlink>
          </w:p>
        </w:tc>
        <w:tc>
          <w:tcPr>
            <w:tcW w:w="2764" w:type="pct"/>
            <w:vAlign w:val="center"/>
          </w:tcPr>
          <w:p w14:paraId="3B890426" w14:textId="71E3EBCF" w:rsidR="00BD7C5F" w:rsidRDefault="00BD7C5F" w:rsidP="00511C18">
            <w:pPr>
              <w:widowControl/>
              <w:jc w:val="center"/>
              <w:rPr>
                <w:rFonts w:cs="Arial"/>
                <w:snapToGrid/>
                <w:color w:val="000000"/>
                <w:szCs w:val="24"/>
              </w:rPr>
            </w:pPr>
            <w:r>
              <w:rPr>
                <w:rFonts w:cs="Arial"/>
                <w:snapToGrid/>
                <w:color w:val="000000"/>
                <w:szCs w:val="24"/>
              </w:rPr>
              <w:t xml:space="preserve">CEPIP web page </w:t>
            </w:r>
            <w:hyperlink r:id="rId40" w:history="1">
              <w:r w:rsidR="00511C18" w:rsidRPr="0055086D">
                <w:rPr>
                  <w:rStyle w:val="Hyperlink"/>
                  <w:rFonts w:eastAsiaTheme="majorEastAsia" w:cs="Arial"/>
                  <w:snapToGrid/>
                  <w:szCs w:val="24"/>
                </w:rPr>
                <w:t>https://www.cde.ca.gov/</w:t>
              </w:r>
              <w:r w:rsidR="00511C18" w:rsidRPr="0055086D">
                <w:rPr>
                  <w:rStyle w:val="Hyperlink"/>
                  <w:rFonts w:eastAsiaTheme="majorEastAsia" w:cs="Arial"/>
                  <w:snapToGrid/>
                  <w:szCs w:val="24"/>
                </w:rPr>
                <w:br/>
                <w:t>sp/sw/t1/equity.asp</w:t>
              </w:r>
            </w:hyperlink>
          </w:p>
        </w:tc>
      </w:tr>
    </w:tbl>
    <w:p w14:paraId="12995F4D" w14:textId="1E6E2086" w:rsidR="000664BA" w:rsidRPr="00EA5F14" w:rsidRDefault="000664BA" w:rsidP="00C96771">
      <w:pPr>
        <w:pStyle w:val="Heading4"/>
      </w:pPr>
      <w:r w:rsidRPr="00EA5F14">
        <w:t>Building Capacity at the CDE</w:t>
      </w:r>
    </w:p>
    <w:p w14:paraId="20E9BA88" w14:textId="77777777" w:rsidR="000664BA" w:rsidRDefault="000664BA" w:rsidP="00511C18">
      <w:pPr>
        <w:spacing w:before="240" w:after="240"/>
      </w:pPr>
      <w:r>
        <w:t>Through the development, administration, monitoring, and evaluation of the CEPIP, the CDE CEPIP team, led by the Integrated Student Support and Programs Office in the Improvement and Accountability Division, engaged in equity learning and capacity building. With the technical assistance of WestEd, the CDE CEPIP team developed CEPIP Theory of Action that guided their equity work. With this new learning, the CEPIP team has provided workshops that engaged colleagues in conversations about equity and examined how best to support equity work in the field.</w:t>
      </w:r>
    </w:p>
    <w:p w14:paraId="41A5B7AB" w14:textId="26111DD7" w:rsidR="000664BA" w:rsidRPr="00FD7138" w:rsidRDefault="000664BA" w:rsidP="00511C18">
      <w:pPr>
        <w:pStyle w:val="Heading2"/>
      </w:pPr>
      <w:bookmarkStart w:id="25" w:name="_Toc46228505"/>
      <w:r w:rsidRPr="00FD7138">
        <w:t>V</w:t>
      </w:r>
      <w:r w:rsidR="002B5F30" w:rsidRPr="00FD7138">
        <w:t>I</w:t>
      </w:r>
      <w:r w:rsidRPr="00FD7138">
        <w:t xml:space="preserve">. </w:t>
      </w:r>
      <w:r w:rsidR="00300296" w:rsidRPr="00FD7138">
        <w:t>Recommendations</w:t>
      </w:r>
      <w:bookmarkEnd w:id="25"/>
    </w:p>
    <w:p w14:paraId="0D83E0CF" w14:textId="77777777" w:rsidR="000664BA" w:rsidRDefault="000664BA" w:rsidP="00511C18">
      <w:pPr>
        <w:spacing w:before="240" w:after="240"/>
      </w:pPr>
      <w:r>
        <w:t>Although education equity has been a focus in the education community for a long time, having a program bearing the equity title such as the CEPIP with a focus that serves specific student groups is critical. The CEPIP raised the urgency and awareness of equity work in schools, provided professional learning in looking inward and outward for strength and weakness for carrying out equity work, analyzing data, planning and implementing systemic changes in schools, and learning and managing changes. Based upon the first year of implementing the CEPIP, the CDE has the following recommendations:</w:t>
      </w:r>
    </w:p>
    <w:p w14:paraId="175415D5" w14:textId="77777777" w:rsidR="000664BA" w:rsidRDefault="000664BA" w:rsidP="00511C18">
      <w:pPr>
        <w:pStyle w:val="ListParagraph"/>
        <w:numPr>
          <w:ilvl w:val="0"/>
          <w:numId w:val="30"/>
        </w:numPr>
        <w:spacing w:before="240" w:after="240"/>
      </w:pPr>
      <w:r>
        <w:t>Equity should be an ongoing discussion in schools</w:t>
      </w:r>
    </w:p>
    <w:p w14:paraId="0FD63B70" w14:textId="77777777" w:rsidR="000664BA" w:rsidRDefault="000664BA" w:rsidP="00511C18">
      <w:pPr>
        <w:pStyle w:val="ListParagraph"/>
        <w:numPr>
          <w:ilvl w:val="0"/>
          <w:numId w:val="30"/>
        </w:numPr>
        <w:spacing w:before="240" w:after="240"/>
      </w:pPr>
      <w:r>
        <w:lastRenderedPageBreak/>
        <w:t>Transforming deep learning into actionable changes</w:t>
      </w:r>
    </w:p>
    <w:p w14:paraId="28B2EDDD" w14:textId="77777777" w:rsidR="000664BA" w:rsidRDefault="000664BA" w:rsidP="00511C18">
      <w:pPr>
        <w:pStyle w:val="ListParagraph"/>
        <w:numPr>
          <w:ilvl w:val="0"/>
          <w:numId w:val="30"/>
        </w:numPr>
        <w:spacing w:before="240" w:after="240"/>
      </w:pPr>
      <w:r>
        <w:t>Linking equity activities to outcomes of students’ achievement</w:t>
      </w:r>
    </w:p>
    <w:p w14:paraId="735BF745" w14:textId="77777777" w:rsidR="000664BA" w:rsidRDefault="000664BA" w:rsidP="00511C18">
      <w:pPr>
        <w:pStyle w:val="ListParagraph"/>
        <w:numPr>
          <w:ilvl w:val="0"/>
          <w:numId w:val="30"/>
        </w:numPr>
        <w:spacing w:before="240" w:after="240"/>
      </w:pPr>
      <w:r>
        <w:t>CEPIP sustainability and scale up statewide</w:t>
      </w:r>
    </w:p>
    <w:p w14:paraId="2A2A16EA" w14:textId="7D1BCEF8" w:rsidR="000664BA" w:rsidRPr="00377011" w:rsidRDefault="000664BA" w:rsidP="00511C18">
      <w:pPr>
        <w:pStyle w:val="Heading3"/>
      </w:pPr>
      <w:bookmarkStart w:id="26" w:name="_Toc46228506"/>
      <w:r w:rsidRPr="00377011">
        <w:t xml:space="preserve">Equity </w:t>
      </w:r>
      <w:r w:rsidR="00417DD1">
        <w:t>S</w:t>
      </w:r>
      <w:r w:rsidRPr="00377011">
        <w:t xml:space="preserve">hould </w:t>
      </w:r>
      <w:r w:rsidR="00417DD1">
        <w:t>B</w:t>
      </w:r>
      <w:r w:rsidRPr="00377011">
        <w:t xml:space="preserve">e </w:t>
      </w:r>
      <w:r w:rsidR="00417DD1">
        <w:t>a</w:t>
      </w:r>
      <w:r w:rsidRPr="00377011">
        <w:t>n Ongoing Discussion in Schools</w:t>
      </w:r>
      <w:bookmarkEnd w:id="26"/>
    </w:p>
    <w:p w14:paraId="2BBDEACC" w14:textId="77777777" w:rsidR="000664BA" w:rsidRDefault="000664BA" w:rsidP="00511C18">
      <w:pPr>
        <w:spacing w:before="240" w:after="240"/>
      </w:pPr>
      <w:r>
        <w:t xml:space="preserve">Realizing the history of underserving certain student groups in </w:t>
      </w:r>
      <w:r w:rsidR="000F2D2E">
        <w:t xml:space="preserve">the </w:t>
      </w:r>
      <w:r>
        <w:t>American education system, we recommend schools engage in an ongoing discussion about equity. We encourage educators to engage periodically in examining our own will, skills, and ability to right the wrong, and to learn new skills, acquire new resources and tools, and reflect our learnings so that we are able to provid</w:t>
      </w:r>
      <w:r w:rsidR="000F2D2E">
        <w:t>e support to every child to</w:t>
      </w:r>
      <w:r>
        <w:t xml:space="preserve"> achieve learning success in schools.</w:t>
      </w:r>
    </w:p>
    <w:p w14:paraId="2FE55B25" w14:textId="4708B1FD" w:rsidR="000664BA" w:rsidRPr="00EC3161" w:rsidRDefault="000664BA" w:rsidP="00511C18">
      <w:pPr>
        <w:pStyle w:val="Heading3"/>
      </w:pPr>
      <w:bookmarkStart w:id="27" w:name="_Toc46228507"/>
      <w:r w:rsidRPr="00EC3161">
        <w:t>Transforming Deep Learning into Actionable Changes</w:t>
      </w:r>
      <w:bookmarkEnd w:id="27"/>
    </w:p>
    <w:p w14:paraId="0CE6556A" w14:textId="77777777" w:rsidR="000664BA" w:rsidRDefault="000664BA" w:rsidP="00511C18">
      <w:pPr>
        <w:spacing w:before="240" w:after="240"/>
      </w:pPr>
      <w:r>
        <w:t xml:space="preserve">The CEPIP built two deep learning infrastructures: Equity professional learning institute onsite based on the continuous improvement model and MTSS equity learning in a community of online, in person, and intensive support. These learning aimed to change the school culture that embraces students of targeted groups, such as African Americans, English learners, and students with disabilities. It is the intent of the CEPIP that the deep learning of adults in </w:t>
      </w:r>
      <w:r w:rsidR="000F2D2E">
        <w:t xml:space="preserve">the </w:t>
      </w:r>
      <w:r>
        <w:t>school will transform educators into learning enablers for underserved students so that they see advantages and learning potentials in students rather than disadvant</w:t>
      </w:r>
      <w:r w:rsidR="001A5991">
        <w:t>ages and disabilities (</w:t>
      </w:r>
      <w:proofErr w:type="spellStart"/>
      <w:r w:rsidR="001A5991">
        <w:t>Genishi</w:t>
      </w:r>
      <w:proofErr w:type="spellEnd"/>
      <w:r w:rsidR="001A5991">
        <w:t xml:space="preserve"> and Dyson</w:t>
      </w:r>
      <w:r>
        <w:t xml:space="preserve"> 2015). Education leaders, especially district and school administrators must work closely with each and every one in schools to take the opportunity to learn about equity and transform their learning into actionable changes so </w:t>
      </w:r>
      <w:r w:rsidR="00A52FF3">
        <w:t>that every student</w:t>
      </w:r>
      <w:r>
        <w:t xml:space="preserve"> </w:t>
      </w:r>
      <w:r w:rsidR="00A52FF3">
        <w:t xml:space="preserve">can thrive in </w:t>
      </w:r>
      <w:r w:rsidR="00954E42">
        <w:t xml:space="preserve">their </w:t>
      </w:r>
      <w:r w:rsidR="00A52FF3">
        <w:t xml:space="preserve">learning by being </w:t>
      </w:r>
      <w:r>
        <w:t>seen, heard, and validated.</w:t>
      </w:r>
    </w:p>
    <w:p w14:paraId="7B67751B" w14:textId="1F249103" w:rsidR="000664BA" w:rsidRPr="00EC3161" w:rsidRDefault="000664BA" w:rsidP="00511C18">
      <w:pPr>
        <w:pStyle w:val="Heading3"/>
      </w:pPr>
      <w:bookmarkStart w:id="28" w:name="_Toc46228508"/>
      <w:r w:rsidRPr="00EC3161">
        <w:t>Linking Equity Activities to Outcomes of Students’ Achievement</w:t>
      </w:r>
      <w:bookmarkEnd w:id="28"/>
    </w:p>
    <w:p w14:paraId="4B049674" w14:textId="77777777" w:rsidR="000664BA" w:rsidRDefault="000664BA" w:rsidP="00511C18">
      <w:pPr>
        <w:spacing w:before="240" w:after="240"/>
      </w:pPr>
      <w:r>
        <w:t>The two equity leads conducted a wide range of equity activities reported in the early section of this report. We found linking equity activities to student learning outcomes is critical to achieving measureable success. Realizing the achievement gap is related to the discipline</w:t>
      </w:r>
      <w:r w:rsidR="001A5991">
        <w:t xml:space="preserve"> gap (Pearman, Curran, Fisher, and Gardella</w:t>
      </w:r>
      <w:r>
        <w:t xml:space="preserve"> 2019), the CEPIP’s implicit bias training and equity conversations were linked to improving student-teacher relationship. Therefore, the training and professional learning resulted in less suspension and disciplinary incidents as reported by the San Diego COE Equity Lead. The Santa Clara COE Equity Lead reported inclusion of co-teaching training focusing on supporting students with disabilities was linked to raising teacher expectation in ELA and </w:t>
      </w:r>
      <w:r w:rsidR="001A5991">
        <w:t>Mathematics (</w:t>
      </w:r>
      <w:proofErr w:type="spellStart"/>
      <w:r w:rsidR="001A5991">
        <w:t>Gershenson</w:t>
      </w:r>
      <w:proofErr w:type="spellEnd"/>
      <w:r w:rsidR="001A5991">
        <w:t>, Holt, and Papageorge</w:t>
      </w:r>
      <w:r>
        <w:t xml:space="preserve"> 2016). The data showed an increase in achievement in the percentages of students with disabilities meeting or exceeding standards in ELA and Mathematics. </w:t>
      </w:r>
    </w:p>
    <w:p w14:paraId="0A0CAD8C" w14:textId="77777777" w:rsidR="000664BA" w:rsidRDefault="000664BA" w:rsidP="00511C18">
      <w:pPr>
        <w:spacing w:before="240" w:after="240"/>
      </w:pPr>
      <w:r>
        <w:t xml:space="preserve">The California School Dashboard provided multiple measures for student achievement. At school sites or district levels, there are many measureable local and formative </w:t>
      </w:r>
      <w:r>
        <w:lastRenderedPageBreak/>
        <w:t xml:space="preserve">indicators educators can use to mark their efforts of improvement. We recommend educators to link their equity work or activities to a specific measure of student achievement so that they can collect, monitor, and improve the data along the way to achieve small, incremental, meaningful progress. </w:t>
      </w:r>
    </w:p>
    <w:p w14:paraId="236A7953" w14:textId="167BEE65" w:rsidR="000664BA" w:rsidRPr="00EC3161" w:rsidRDefault="000664BA" w:rsidP="00511C18">
      <w:pPr>
        <w:pStyle w:val="Heading3"/>
      </w:pPr>
      <w:bookmarkStart w:id="29" w:name="_Toc46228509"/>
      <w:r w:rsidRPr="00EC3161">
        <w:t>CEPIP Sustainability and Scale up Statewide</w:t>
      </w:r>
      <w:bookmarkEnd w:id="29"/>
    </w:p>
    <w:p w14:paraId="46BD3819" w14:textId="77777777" w:rsidR="00155E17" w:rsidRDefault="000664BA" w:rsidP="00511C18">
      <w:pPr>
        <w:spacing w:before="240" w:after="240"/>
      </w:pPr>
      <w:r>
        <w:t>Although California has invested enormous resources and efforts in education equity, the CEPIP is the first state funded program through the general fund that aimed at building equity capacity at schools, districts, COEs, charter schools, and the CDE. The one-time $2.5 million funded two Equity Leads for two years. The funding ends June 30, 2020.</w:t>
      </w:r>
    </w:p>
    <w:p w14:paraId="641DF3D7" w14:textId="77777777" w:rsidR="000664BA" w:rsidRDefault="000664BA" w:rsidP="00511C18">
      <w:pPr>
        <w:spacing w:before="240" w:after="240"/>
      </w:pPr>
      <w:r>
        <w:t xml:space="preserve">With the first year of implementation complete and the 2019–20 activities underway, the CEPIP has built an equity infrastructure that can be scaled up statewide. Beyond the 2020 grant cycle, the San Diego COE Equity Lead’s continuous improvement cycle could be expanded to more schools with a large enrollment of African American and English learner students. Further, more educators can utilize Santa Clara COE Equity Lead’s online equity learning modules, professional learning institute, and coaching that has been developed since the implementation of the CEPIP. </w:t>
      </w:r>
    </w:p>
    <w:p w14:paraId="350313E8" w14:textId="491DEE6B" w:rsidR="00106892" w:rsidRDefault="000664BA" w:rsidP="00C96771">
      <w:pPr>
        <w:spacing w:before="240" w:after="240"/>
      </w:pPr>
      <w:r>
        <w:t>The CEPIP and the equity work led by San Diego and Santa Clara COEs are part of a larger effort to improve California schools. Immediately after the CEPIP entered its operation in 2018, it was integrated as part of the California System of Su</w:t>
      </w:r>
      <w:r w:rsidR="001A5991">
        <w:t>pport for LEAs and schools (CDE</w:t>
      </w:r>
      <w:r>
        <w:t xml:space="preserve"> 2018b). The system of support encompasses various lead age</w:t>
      </w:r>
      <w:r w:rsidR="00A52FF3">
        <w:t>ncies and/or initiatives with specified</w:t>
      </w:r>
      <w:r>
        <w:t xml:space="preserve"> responsibilities supported by various ongoing and one-time funding sources. Table 8 shows the lead agencies and/or initiatives within California</w:t>
      </w:r>
      <w:r w:rsidR="001A5991">
        <w:t>’s system of support (CDE</w:t>
      </w:r>
      <w:r w:rsidR="006009C8">
        <w:t xml:space="preserve"> 2019e</w:t>
      </w:r>
      <w:r>
        <w:t>).</w:t>
      </w:r>
    </w:p>
    <w:p w14:paraId="79EBA9B2" w14:textId="7C28F390" w:rsidR="00E35616" w:rsidRPr="00E35616" w:rsidRDefault="000664BA" w:rsidP="00C96771">
      <w:pPr>
        <w:spacing w:after="240"/>
        <w:rPr>
          <w:b/>
        </w:rPr>
      </w:pPr>
      <w:r w:rsidRPr="00E35616">
        <w:rPr>
          <w:b/>
        </w:rPr>
        <w:t>Table</w:t>
      </w:r>
      <w:r w:rsidR="00417DD1" w:rsidRPr="00E35616">
        <w:rPr>
          <w:b/>
        </w:rPr>
        <w:t xml:space="preserve"> </w:t>
      </w:r>
      <w:r w:rsidR="009869C6" w:rsidRPr="00E35616">
        <w:rPr>
          <w:b/>
        </w:rPr>
        <w:t>8</w:t>
      </w:r>
      <w:r w:rsidRPr="00E35616">
        <w:rPr>
          <w:b/>
        </w:rPr>
        <w:t xml:space="preserve"> Lead Agencies and/or Initiatives within California’s System of Support</w:t>
      </w:r>
    </w:p>
    <w:tbl>
      <w:tblPr>
        <w:tblStyle w:val="TableGrid3"/>
        <w:tblW w:w="5000" w:type="pct"/>
        <w:tblLook w:val="04A0" w:firstRow="1" w:lastRow="0" w:firstColumn="1" w:lastColumn="0" w:noHBand="0" w:noVBand="1"/>
        <w:tblDescription w:val="Identifies lead agencies and/or initiatives that are a part of the system of support and also provides information on how many leads, agencies, or consortia each will have."/>
      </w:tblPr>
      <w:tblGrid>
        <w:gridCol w:w="4538"/>
        <w:gridCol w:w="4812"/>
      </w:tblGrid>
      <w:tr w:rsidR="000664BA" w:rsidRPr="00C96771" w14:paraId="41449551" w14:textId="77777777" w:rsidTr="00C96771">
        <w:trPr>
          <w:trHeight w:val="432"/>
          <w:tblHeader/>
        </w:trPr>
        <w:tc>
          <w:tcPr>
            <w:tcW w:w="2427" w:type="pct"/>
            <w:shd w:val="clear" w:color="auto" w:fill="D9D9D9" w:themeFill="background1" w:themeFillShade="D9"/>
            <w:vAlign w:val="center"/>
            <w:hideMark/>
          </w:tcPr>
          <w:p w14:paraId="1EB5C2C3" w14:textId="77777777" w:rsidR="000664BA" w:rsidRPr="00C96771" w:rsidRDefault="000664BA" w:rsidP="00C96771">
            <w:pPr>
              <w:contextualSpacing/>
              <w:jc w:val="center"/>
              <w:rPr>
                <w:rFonts w:cs="Arial"/>
                <w:b/>
                <w:szCs w:val="24"/>
              </w:rPr>
            </w:pPr>
            <w:bookmarkStart w:id="30" w:name="_Hlk528186704"/>
            <w:r w:rsidRPr="00C96771">
              <w:rPr>
                <w:rFonts w:cs="Arial"/>
                <w:b/>
                <w:bCs/>
                <w:szCs w:val="24"/>
              </w:rPr>
              <w:br w:type="page"/>
            </w:r>
            <w:r w:rsidRPr="00C96771">
              <w:rPr>
                <w:rFonts w:cs="Arial"/>
                <w:b/>
                <w:szCs w:val="24"/>
              </w:rPr>
              <w:t>Leads</w:t>
            </w:r>
          </w:p>
        </w:tc>
        <w:tc>
          <w:tcPr>
            <w:tcW w:w="2573" w:type="pct"/>
            <w:shd w:val="clear" w:color="auto" w:fill="D9D9D9" w:themeFill="background1" w:themeFillShade="D9"/>
            <w:vAlign w:val="center"/>
            <w:hideMark/>
          </w:tcPr>
          <w:p w14:paraId="3DFD80D7" w14:textId="77777777" w:rsidR="000664BA" w:rsidRPr="00C96771" w:rsidRDefault="000664BA" w:rsidP="00C96771">
            <w:pPr>
              <w:contextualSpacing/>
              <w:jc w:val="center"/>
              <w:rPr>
                <w:rFonts w:cs="Arial"/>
                <w:b/>
                <w:szCs w:val="24"/>
              </w:rPr>
            </w:pPr>
            <w:r w:rsidRPr="00C96771">
              <w:rPr>
                <w:rFonts w:cs="Arial"/>
                <w:b/>
                <w:szCs w:val="24"/>
              </w:rPr>
              <w:t>Number of leads, agencies, or consortia</w:t>
            </w:r>
          </w:p>
        </w:tc>
      </w:tr>
      <w:tr w:rsidR="000664BA" w:rsidRPr="00C96771" w14:paraId="65693E99" w14:textId="77777777" w:rsidTr="00C96771">
        <w:trPr>
          <w:trHeight w:val="432"/>
        </w:trPr>
        <w:tc>
          <w:tcPr>
            <w:tcW w:w="2427" w:type="pct"/>
            <w:vAlign w:val="center"/>
            <w:hideMark/>
          </w:tcPr>
          <w:p w14:paraId="7F211CC3" w14:textId="77777777" w:rsidR="000664BA" w:rsidRPr="00C96771" w:rsidRDefault="000664BA" w:rsidP="00C96771">
            <w:pPr>
              <w:contextualSpacing/>
              <w:jc w:val="center"/>
              <w:rPr>
                <w:rFonts w:cs="Arial"/>
                <w:b/>
                <w:szCs w:val="24"/>
              </w:rPr>
            </w:pPr>
            <w:r w:rsidRPr="00C96771">
              <w:rPr>
                <w:rFonts w:cs="Arial"/>
                <w:b/>
                <w:szCs w:val="24"/>
              </w:rPr>
              <w:t>Geographic Lead Agencies</w:t>
            </w:r>
          </w:p>
        </w:tc>
        <w:tc>
          <w:tcPr>
            <w:tcW w:w="2573" w:type="pct"/>
            <w:vAlign w:val="center"/>
            <w:hideMark/>
          </w:tcPr>
          <w:p w14:paraId="34596AF6" w14:textId="77777777" w:rsidR="000664BA" w:rsidRPr="00C96771" w:rsidRDefault="000664BA" w:rsidP="00C96771">
            <w:pPr>
              <w:contextualSpacing/>
              <w:jc w:val="center"/>
              <w:rPr>
                <w:rFonts w:cs="Arial"/>
                <w:szCs w:val="24"/>
              </w:rPr>
            </w:pPr>
            <w:r w:rsidRPr="00C96771">
              <w:rPr>
                <w:rFonts w:cs="Arial"/>
                <w:szCs w:val="24"/>
              </w:rPr>
              <w:t>7</w:t>
            </w:r>
          </w:p>
        </w:tc>
      </w:tr>
      <w:tr w:rsidR="000664BA" w:rsidRPr="00C96771" w14:paraId="1612503D" w14:textId="77777777" w:rsidTr="00C96771">
        <w:trPr>
          <w:trHeight w:val="432"/>
        </w:trPr>
        <w:tc>
          <w:tcPr>
            <w:tcW w:w="2427" w:type="pct"/>
            <w:vAlign w:val="center"/>
            <w:hideMark/>
          </w:tcPr>
          <w:p w14:paraId="11936E9E" w14:textId="77777777" w:rsidR="000664BA" w:rsidRPr="00C96771" w:rsidRDefault="000664BA" w:rsidP="00C96771">
            <w:pPr>
              <w:contextualSpacing/>
              <w:jc w:val="center"/>
              <w:rPr>
                <w:rFonts w:cs="Arial"/>
                <w:b/>
                <w:szCs w:val="24"/>
              </w:rPr>
            </w:pPr>
            <w:r w:rsidRPr="00C96771">
              <w:rPr>
                <w:rFonts w:cs="Arial"/>
                <w:b/>
                <w:szCs w:val="24"/>
              </w:rPr>
              <w:t>Community Engagement Lead</w:t>
            </w:r>
          </w:p>
        </w:tc>
        <w:tc>
          <w:tcPr>
            <w:tcW w:w="2573" w:type="pct"/>
            <w:vAlign w:val="center"/>
            <w:hideMark/>
          </w:tcPr>
          <w:p w14:paraId="6007609D" w14:textId="77777777" w:rsidR="000664BA" w:rsidRPr="00C96771" w:rsidRDefault="000664BA" w:rsidP="00C96771">
            <w:pPr>
              <w:contextualSpacing/>
              <w:jc w:val="center"/>
              <w:rPr>
                <w:rFonts w:cs="Arial"/>
                <w:szCs w:val="24"/>
              </w:rPr>
            </w:pPr>
            <w:r w:rsidRPr="00C96771">
              <w:rPr>
                <w:rFonts w:cs="Arial"/>
                <w:szCs w:val="24"/>
              </w:rPr>
              <w:t>1</w:t>
            </w:r>
          </w:p>
        </w:tc>
      </w:tr>
      <w:tr w:rsidR="000664BA" w:rsidRPr="00C96771" w14:paraId="23F3B98B" w14:textId="77777777" w:rsidTr="00C96771">
        <w:trPr>
          <w:trHeight w:val="432"/>
        </w:trPr>
        <w:tc>
          <w:tcPr>
            <w:tcW w:w="2427" w:type="pct"/>
            <w:vAlign w:val="center"/>
            <w:hideMark/>
          </w:tcPr>
          <w:p w14:paraId="579CE889" w14:textId="77777777" w:rsidR="000664BA" w:rsidRPr="00C96771" w:rsidRDefault="000664BA" w:rsidP="00C96771">
            <w:pPr>
              <w:contextualSpacing/>
              <w:jc w:val="center"/>
              <w:rPr>
                <w:rFonts w:cs="Arial"/>
                <w:b/>
                <w:szCs w:val="24"/>
              </w:rPr>
            </w:pPr>
            <w:r w:rsidRPr="00C96771">
              <w:rPr>
                <w:rFonts w:cs="Arial"/>
                <w:b/>
                <w:szCs w:val="24"/>
              </w:rPr>
              <w:t>Multi-Tiered System of Support</w:t>
            </w:r>
          </w:p>
        </w:tc>
        <w:tc>
          <w:tcPr>
            <w:tcW w:w="2573" w:type="pct"/>
            <w:vAlign w:val="center"/>
            <w:hideMark/>
          </w:tcPr>
          <w:p w14:paraId="3991A856" w14:textId="77777777" w:rsidR="000664BA" w:rsidRPr="00C96771" w:rsidRDefault="000664BA" w:rsidP="00C96771">
            <w:pPr>
              <w:contextualSpacing/>
              <w:jc w:val="center"/>
              <w:rPr>
                <w:rFonts w:cs="Arial"/>
                <w:szCs w:val="24"/>
              </w:rPr>
            </w:pPr>
            <w:r w:rsidRPr="00C96771">
              <w:rPr>
                <w:rFonts w:cs="Arial"/>
                <w:szCs w:val="24"/>
              </w:rPr>
              <w:t>1</w:t>
            </w:r>
          </w:p>
        </w:tc>
      </w:tr>
      <w:tr w:rsidR="000664BA" w:rsidRPr="00C96771" w14:paraId="6C4F3DC8" w14:textId="77777777" w:rsidTr="00C96771">
        <w:trPr>
          <w:trHeight w:val="432"/>
        </w:trPr>
        <w:tc>
          <w:tcPr>
            <w:tcW w:w="2427" w:type="pct"/>
            <w:vAlign w:val="center"/>
            <w:hideMark/>
          </w:tcPr>
          <w:p w14:paraId="5821DC37" w14:textId="77777777" w:rsidR="000664BA" w:rsidRPr="00C96771" w:rsidRDefault="000664BA" w:rsidP="00C96771">
            <w:pPr>
              <w:contextualSpacing/>
              <w:jc w:val="center"/>
              <w:rPr>
                <w:rFonts w:cs="Arial"/>
                <w:b/>
                <w:szCs w:val="24"/>
              </w:rPr>
            </w:pPr>
            <w:r w:rsidRPr="00C96771">
              <w:rPr>
                <w:rFonts w:cs="Arial"/>
                <w:b/>
                <w:szCs w:val="24"/>
              </w:rPr>
              <w:t>Equity Leads</w:t>
            </w:r>
          </w:p>
        </w:tc>
        <w:tc>
          <w:tcPr>
            <w:tcW w:w="2573" w:type="pct"/>
            <w:vAlign w:val="center"/>
            <w:hideMark/>
          </w:tcPr>
          <w:p w14:paraId="260A1834" w14:textId="77777777" w:rsidR="000664BA" w:rsidRPr="00C96771" w:rsidRDefault="000664BA" w:rsidP="00C96771">
            <w:pPr>
              <w:contextualSpacing/>
              <w:jc w:val="center"/>
              <w:rPr>
                <w:rFonts w:cs="Arial"/>
                <w:szCs w:val="24"/>
              </w:rPr>
            </w:pPr>
            <w:r w:rsidRPr="00C96771">
              <w:rPr>
                <w:rFonts w:cs="Arial"/>
                <w:szCs w:val="24"/>
              </w:rPr>
              <w:t>2, along with stakeholder partnerships</w:t>
            </w:r>
          </w:p>
        </w:tc>
      </w:tr>
      <w:tr w:rsidR="000664BA" w:rsidRPr="00C96771" w14:paraId="54329F61" w14:textId="77777777" w:rsidTr="00C96771">
        <w:trPr>
          <w:trHeight w:val="432"/>
        </w:trPr>
        <w:tc>
          <w:tcPr>
            <w:tcW w:w="2427" w:type="pct"/>
            <w:vAlign w:val="center"/>
            <w:hideMark/>
          </w:tcPr>
          <w:p w14:paraId="37021905" w14:textId="77777777" w:rsidR="000664BA" w:rsidRPr="00C96771" w:rsidRDefault="000664BA" w:rsidP="00C96771">
            <w:pPr>
              <w:contextualSpacing/>
              <w:jc w:val="center"/>
              <w:rPr>
                <w:rFonts w:cs="Arial"/>
                <w:b/>
                <w:szCs w:val="24"/>
              </w:rPr>
            </w:pPr>
            <w:r w:rsidRPr="00C96771">
              <w:rPr>
                <w:rFonts w:cs="Arial"/>
                <w:b/>
                <w:szCs w:val="24"/>
              </w:rPr>
              <w:t>Early Math Initiative</w:t>
            </w:r>
          </w:p>
        </w:tc>
        <w:tc>
          <w:tcPr>
            <w:tcW w:w="2573" w:type="pct"/>
            <w:vAlign w:val="center"/>
            <w:hideMark/>
          </w:tcPr>
          <w:p w14:paraId="668695ED" w14:textId="77777777" w:rsidR="000664BA" w:rsidRPr="00C96771" w:rsidRDefault="000664BA" w:rsidP="00C96771">
            <w:pPr>
              <w:contextualSpacing/>
              <w:jc w:val="center"/>
              <w:rPr>
                <w:rFonts w:cs="Arial"/>
                <w:szCs w:val="24"/>
              </w:rPr>
            </w:pPr>
            <w:r w:rsidRPr="00C96771">
              <w:rPr>
                <w:rFonts w:cs="Arial"/>
                <w:szCs w:val="24"/>
              </w:rPr>
              <w:t>1</w:t>
            </w:r>
          </w:p>
        </w:tc>
      </w:tr>
      <w:tr w:rsidR="000664BA" w:rsidRPr="00C96771" w14:paraId="3AACC769" w14:textId="77777777" w:rsidTr="00C96771">
        <w:trPr>
          <w:trHeight w:val="432"/>
        </w:trPr>
        <w:tc>
          <w:tcPr>
            <w:tcW w:w="2427" w:type="pct"/>
            <w:vAlign w:val="center"/>
            <w:hideMark/>
          </w:tcPr>
          <w:p w14:paraId="351936DD" w14:textId="77777777" w:rsidR="000664BA" w:rsidRPr="00C96771" w:rsidRDefault="000664BA" w:rsidP="00C96771">
            <w:pPr>
              <w:contextualSpacing/>
              <w:jc w:val="center"/>
              <w:rPr>
                <w:rFonts w:cs="Arial"/>
                <w:bCs/>
                <w:szCs w:val="24"/>
              </w:rPr>
            </w:pPr>
            <w:r w:rsidRPr="00C96771">
              <w:rPr>
                <w:rFonts w:cs="Arial"/>
                <w:b/>
                <w:szCs w:val="24"/>
              </w:rPr>
              <w:t>Special Education Resource Leads</w:t>
            </w:r>
          </w:p>
        </w:tc>
        <w:tc>
          <w:tcPr>
            <w:tcW w:w="2573" w:type="pct"/>
            <w:vAlign w:val="center"/>
            <w:hideMark/>
          </w:tcPr>
          <w:p w14:paraId="235A81F8" w14:textId="77777777" w:rsidR="000664BA" w:rsidRPr="00C96771" w:rsidRDefault="000664BA" w:rsidP="00C96771">
            <w:pPr>
              <w:pStyle w:val="ListParagraph"/>
              <w:spacing w:after="240"/>
              <w:ind w:left="0"/>
              <w:jc w:val="center"/>
              <w:rPr>
                <w:rFonts w:cs="Arial"/>
                <w:b/>
                <w:szCs w:val="24"/>
              </w:rPr>
            </w:pPr>
            <w:r w:rsidRPr="00C96771">
              <w:rPr>
                <w:rFonts w:cs="Arial"/>
                <w:szCs w:val="24"/>
              </w:rPr>
              <w:t>System Improvement Leads – 3</w:t>
            </w:r>
          </w:p>
          <w:p w14:paraId="6238DE15" w14:textId="77777777" w:rsidR="000664BA" w:rsidRPr="00C96771" w:rsidRDefault="000664BA" w:rsidP="00C96771">
            <w:pPr>
              <w:spacing w:after="240"/>
              <w:contextualSpacing/>
              <w:jc w:val="center"/>
              <w:rPr>
                <w:rFonts w:cs="Arial"/>
                <w:szCs w:val="24"/>
              </w:rPr>
            </w:pPr>
            <w:r w:rsidRPr="00C96771">
              <w:rPr>
                <w:rFonts w:cs="Arial"/>
                <w:szCs w:val="24"/>
              </w:rPr>
              <w:t>Content Leads – 4</w:t>
            </w:r>
          </w:p>
        </w:tc>
      </w:tr>
      <w:tr w:rsidR="000664BA" w:rsidRPr="00C96771" w14:paraId="34C422CC" w14:textId="77777777" w:rsidTr="00C96771">
        <w:trPr>
          <w:trHeight w:val="432"/>
        </w:trPr>
        <w:tc>
          <w:tcPr>
            <w:tcW w:w="2427" w:type="pct"/>
            <w:vAlign w:val="center"/>
            <w:hideMark/>
          </w:tcPr>
          <w:p w14:paraId="116AE3AF" w14:textId="77777777" w:rsidR="000664BA" w:rsidRPr="00C96771" w:rsidRDefault="000664BA" w:rsidP="00C96771">
            <w:pPr>
              <w:contextualSpacing/>
              <w:jc w:val="center"/>
              <w:rPr>
                <w:rFonts w:cs="Arial"/>
                <w:b/>
                <w:szCs w:val="24"/>
              </w:rPr>
            </w:pPr>
            <w:r w:rsidRPr="00C96771">
              <w:rPr>
                <w:rFonts w:cs="Arial"/>
                <w:b/>
                <w:szCs w:val="24"/>
              </w:rPr>
              <w:t>Title III English Learner Specialists</w:t>
            </w:r>
          </w:p>
        </w:tc>
        <w:tc>
          <w:tcPr>
            <w:tcW w:w="2573" w:type="pct"/>
            <w:vAlign w:val="center"/>
            <w:hideMark/>
          </w:tcPr>
          <w:p w14:paraId="4CAD7090" w14:textId="77777777" w:rsidR="000664BA" w:rsidRPr="00C96771" w:rsidRDefault="000664BA" w:rsidP="00C96771">
            <w:pPr>
              <w:contextualSpacing/>
              <w:jc w:val="center"/>
              <w:rPr>
                <w:rFonts w:cs="Arial"/>
                <w:szCs w:val="24"/>
              </w:rPr>
            </w:pPr>
            <w:r w:rsidRPr="00C96771">
              <w:rPr>
                <w:rFonts w:cs="Arial"/>
                <w:szCs w:val="24"/>
              </w:rPr>
              <w:t>11, with 1 lead representative</w:t>
            </w:r>
          </w:p>
        </w:tc>
        <w:bookmarkEnd w:id="30"/>
      </w:tr>
    </w:tbl>
    <w:p w14:paraId="6377C7D2" w14:textId="77777777" w:rsidR="000664BA" w:rsidRDefault="000664BA" w:rsidP="00511C18">
      <w:pPr>
        <w:spacing w:before="240" w:after="240"/>
      </w:pPr>
      <w:r>
        <w:t xml:space="preserve">Under the Local Control Funding Formula (LCFF), California’s system of support </w:t>
      </w:r>
      <w:r>
        <w:lastRenderedPageBreak/>
        <w:t>provides assistance and support to LEAs and schools in the following three levels of support:</w:t>
      </w:r>
    </w:p>
    <w:p w14:paraId="0539A9B8" w14:textId="77777777" w:rsidR="000664BA" w:rsidRPr="002964B7" w:rsidRDefault="000664BA" w:rsidP="00511C18">
      <w:pPr>
        <w:widowControl/>
        <w:numPr>
          <w:ilvl w:val="0"/>
          <w:numId w:val="31"/>
        </w:numPr>
        <w:spacing w:before="240" w:after="240"/>
        <w:rPr>
          <w:rFonts w:cs="Arial"/>
        </w:rPr>
      </w:pPr>
      <w:r w:rsidRPr="002964B7">
        <w:rPr>
          <w:rFonts w:cs="Arial"/>
        </w:rPr>
        <w:t>Support for All LEAs and Schools</w:t>
      </w:r>
      <w:r w:rsidR="006F7423">
        <w:rPr>
          <w:rFonts w:cs="Arial"/>
        </w:rPr>
        <w:t>-</w:t>
      </w:r>
      <w:r w:rsidRPr="002964B7">
        <w:rPr>
          <w:rFonts w:cs="Arial"/>
        </w:rPr>
        <w:t xml:space="preserve"> Level 1: Various state and local agencies provide an array of resources and voluntary assistance that all LEAs may use to improve student performance at the LEA and school level and narrow disparities among student groups across the LCFF priorities, including recognition for success and the ability to share promising practices.</w:t>
      </w:r>
    </w:p>
    <w:p w14:paraId="1030B6F0" w14:textId="77777777" w:rsidR="000664BA" w:rsidRPr="002964B7" w:rsidRDefault="000664BA" w:rsidP="00511C18">
      <w:pPr>
        <w:widowControl/>
        <w:numPr>
          <w:ilvl w:val="0"/>
          <w:numId w:val="31"/>
        </w:numPr>
        <w:spacing w:before="240" w:after="240"/>
        <w:rPr>
          <w:rFonts w:cs="Arial"/>
          <w:color w:val="000000"/>
        </w:rPr>
      </w:pPr>
      <w:r w:rsidRPr="002964B7">
        <w:rPr>
          <w:rFonts w:cs="Arial"/>
        </w:rPr>
        <w:t>Differentiated Assistance</w:t>
      </w:r>
      <w:r w:rsidR="006F7423">
        <w:rPr>
          <w:rFonts w:cs="Arial"/>
        </w:rPr>
        <w:t>-</w:t>
      </w:r>
      <w:r w:rsidRPr="002964B7">
        <w:rPr>
          <w:rFonts w:cs="Arial"/>
        </w:rPr>
        <w:t xml:space="preserve"> Level 2: </w:t>
      </w:r>
      <w:r w:rsidRPr="002964B7">
        <w:rPr>
          <w:rFonts w:cs="Arial"/>
          <w:color w:val="000000"/>
        </w:rPr>
        <w:t xml:space="preserve">County superintendents, the CDE, charter authorizers, and the </w:t>
      </w:r>
      <w:r w:rsidRPr="002964B7">
        <w:rPr>
          <w:rFonts w:cs="Arial"/>
        </w:rPr>
        <w:t xml:space="preserve">California Collaborative for Educational Excellence </w:t>
      </w:r>
      <w:r w:rsidRPr="002964B7">
        <w:rPr>
          <w:rFonts w:cs="Arial"/>
          <w:color w:val="000000"/>
        </w:rPr>
        <w:t>provide differentiated assistance for LEAs, in the form of individually designed assistance, to address identified performance issues.</w:t>
      </w:r>
    </w:p>
    <w:p w14:paraId="37E6C66B" w14:textId="77777777" w:rsidR="000664BA" w:rsidRPr="002964B7" w:rsidRDefault="000664BA" w:rsidP="00511C18">
      <w:pPr>
        <w:widowControl/>
        <w:numPr>
          <w:ilvl w:val="0"/>
          <w:numId w:val="31"/>
        </w:numPr>
        <w:spacing w:before="240" w:after="240"/>
        <w:rPr>
          <w:rFonts w:cs="Arial"/>
        </w:rPr>
      </w:pPr>
      <w:r w:rsidRPr="002964B7">
        <w:rPr>
          <w:rFonts w:cs="Arial"/>
          <w:color w:val="000000"/>
        </w:rPr>
        <w:t>Intensive Intervention</w:t>
      </w:r>
      <w:r w:rsidR="006F7423">
        <w:rPr>
          <w:rFonts w:cs="Arial"/>
          <w:color w:val="000000"/>
        </w:rPr>
        <w:t>-</w:t>
      </w:r>
      <w:r w:rsidRPr="002964B7">
        <w:rPr>
          <w:rFonts w:cs="Arial"/>
          <w:color w:val="000000"/>
        </w:rPr>
        <w:t xml:space="preserve"> Level 3: The State Superintendent of Public Instruction or, for charter schools, the charter authorizer may require more intensive interventions for LEAs with persistent performance issues over a specified time period.</w:t>
      </w:r>
    </w:p>
    <w:p w14:paraId="38C333A2" w14:textId="01128C8C" w:rsidR="00155E17" w:rsidRDefault="000664BA" w:rsidP="00511C18">
      <w:pPr>
        <w:spacing w:before="240" w:after="240"/>
      </w:pPr>
      <w:r w:rsidRPr="008D61F8">
        <w:rPr>
          <w:rFonts w:cs="Arial"/>
          <w:bCs/>
        </w:rPr>
        <w:t>The goal for support at all levels is to assist LEAs and their schools to meet the needs of each student served, with a focus on building capacity to sustain improvement and effectively address inequities in student opportunities and outcomes.</w:t>
      </w:r>
      <w:r>
        <w:rPr>
          <w:rFonts w:cs="Arial"/>
          <w:bCs/>
        </w:rPr>
        <w:t xml:space="preserve"> </w:t>
      </w:r>
      <w:r>
        <w:t xml:space="preserve">Clearly, there is need for concerted effort with equity work to tackle the disparity in schools. Continuous funding for the CEPIP beyond 2020 is critical to allow the program to reach its full potential to allow a reasonable enough time for the CEPIP to go through its cycle in order to learn, grown, and yield the return on the public investment. </w:t>
      </w:r>
    </w:p>
    <w:p w14:paraId="3FA685C4" w14:textId="384EFC04" w:rsidR="007032A4" w:rsidRDefault="007032A4" w:rsidP="00511C18">
      <w:pPr>
        <w:pStyle w:val="Heading2"/>
      </w:pPr>
      <w:bookmarkStart w:id="31" w:name="_Toc46228510"/>
      <w:r>
        <w:t>References</w:t>
      </w:r>
      <w:bookmarkEnd w:id="31"/>
    </w:p>
    <w:p w14:paraId="79034DB3" w14:textId="77777777" w:rsidR="005B30D2" w:rsidRDefault="004531E0" w:rsidP="00511C18">
      <w:pPr>
        <w:rPr>
          <w:i/>
        </w:rPr>
      </w:pPr>
      <w:r>
        <w:t>Allington, R. L. &amp; A.</w:t>
      </w:r>
      <w:r w:rsidR="000664BA">
        <w:t xml:space="preserve"> McGill-Franzen. (Ed). 2018. </w:t>
      </w:r>
      <w:r w:rsidR="000664BA" w:rsidRPr="0003434B">
        <w:rPr>
          <w:i/>
        </w:rPr>
        <w:t xml:space="preserve">Summer Reading: Closing the </w:t>
      </w:r>
    </w:p>
    <w:p w14:paraId="33A090D7" w14:textId="0EC8C2CB" w:rsidR="000664BA" w:rsidRDefault="000664BA" w:rsidP="00511C18">
      <w:r w:rsidRPr="0003434B">
        <w:rPr>
          <w:i/>
        </w:rPr>
        <w:t>Rich/Poor Reading Achievement Gap</w:t>
      </w:r>
      <w:r>
        <w:t>. NY: Teachers College Press</w:t>
      </w:r>
    </w:p>
    <w:p w14:paraId="31E14A6B" w14:textId="66FF4118" w:rsidR="000664BA" w:rsidRPr="005B30D2" w:rsidRDefault="000664BA" w:rsidP="00511C18">
      <w:pPr>
        <w:spacing w:before="240" w:after="240"/>
        <w:rPr>
          <w:i/>
        </w:rPr>
      </w:pPr>
      <w:proofErr w:type="spellStart"/>
      <w:r>
        <w:t>Bohrnstedt</w:t>
      </w:r>
      <w:proofErr w:type="spellEnd"/>
      <w:r>
        <w:t>, G</w:t>
      </w:r>
      <w:r w:rsidR="00FE4D37">
        <w:t>.</w:t>
      </w:r>
      <w:r>
        <w:t xml:space="preserve">, S. </w:t>
      </w:r>
      <w:proofErr w:type="spellStart"/>
      <w:r>
        <w:t>Kitmitto</w:t>
      </w:r>
      <w:proofErr w:type="spellEnd"/>
      <w:r>
        <w:t xml:space="preserve">, B. </w:t>
      </w:r>
      <w:proofErr w:type="spellStart"/>
      <w:r>
        <w:t>Ogut</w:t>
      </w:r>
      <w:proofErr w:type="spellEnd"/>
      <w:r>
        <w:t xml:space="preserve">, D. Sherman, and D. Chan. 2015. </w:t>
      </w:r>
      <w:r w:rsidRPr="00FE4D37">
        <w:rPr>
          <w:i/>
        </w:rPr>
        <w:t>School Composition and the Black-White Achievement Gap</w:t>
      </w:r>
      <w:r>
        <w:t xml:space="preserve"> (NCES 2015-018). U.S. Department of Education, Washington, DC: National Center for Education Statistics. </w:t>
      </w:r>
      <w:hyperlink r:id="rId41" w:tooltip="School Composition and the Black-White Achievement Gap" w:history="1">
        <w:r>
          <w:rPr>
            <w:rStyle w:val="Hyperlink"/>
            <w:rFonts w:eastAsiaTheme="majorEastAsia"/>
          </w:rPr>
          <w:t>https://nces.ed.gov/nationsreportcard/pubs/studies/2015018.aspx</w:t>
        </w:r>
      </w:hyperlink>
    </w:p>
    <w:p w14:paraId="2AF0BB32" w14:textId="48C6C84F" w:rsidR="000664BA" w:rsidRDefault="000664BA" w:rsidP="00511C18">
      <w:pPr>
        <w:spacing w:before="240" w:after="240"/>
      </w:pPr>
      <w:r>
        <w:t xml:space="preserve">California Department of Education. 2013. Standardized Testing and Reporting Results. </w:t>
      </w:r>
      <w:hyperlink r:id="rId42" w:tooltip="Standardized Testing and Reporting Results web page" w:history="1">
        <w:r w:rsidR="00F80FBD" w:rsidRPr="00C006FB">
          <w:rPr>
            <w:rStyle w:val="Hyperlink"/>
          </w:rPr>
          <w:t>https://www.cde.ca.gov/re/pr/star.asp</w:t>
        </w:r>
      </w:hyperlink>
      <w:bookmarkStart w:id="32" w:name="_GoBack"/>
      <w:bookmarkEnd w:id="32"/>
      <w:r w:rsidR="00F80FBD">
        <w:t xml:space="preserve"> </w:t>
      </w:r>
      <w:r>
        <w:t xml:space="preserve"> </w:t>
      </w:r>
    </w:p>
    <w:p w14:paraId="704A3C36" w14:textId="77777777" w:rsidR="000664BA" w:rsidRDefault="000664BA" w:rsidP="00511C18">
      <w:pPr>
        <w:spacing w:before="240" w:after="240"/>
      </w:pPr>
      <w:r>
        <w:t xml:space="preserve">California Department of Education. 2018a. </w:t>
      </w:r>
      <w:r w:rsidRPr="00090E95">
        <w:rPr>
          <w:i/>
        </w:rPr>
        <w:t>Quality Schooling Framework</w:t>
      </w:r>
      <w:r>
        <w:t xml:space="preserve">. </w:t>
      </w:r>
      <w:hyperlink r:id="rId43" w:tooltip="Equity" w:history="1">
        <w:r w:rsidRPr="00F45826">
          <w:rPr>
            <w:rStyle w:val="Hyperlink"/>
            <w:rFonts w:eastAsiaTheme="majorEastAsia"/>
          </w:rPr>
          <w:t>https://www.cde.ca.gov/qs/ea/</w:t>
        </w:r>
      </w:hyperlink>
      <w:r>
        <w:t xml:space="preserve"> </w:t>
      </w:r>
    </w:p>
    <w:p w14:paraId="6AF4D5A8" w14:textId="77777777" w:rsidR="000664BA" w:rsidRDefault="000664BA" w:rsidP="00511C18">
      <w:pPr>
        <w:spacing w:before="240" w:after="240"/>
        <w:rPr>
          <w:rStyle w:val="Hyperlink"/>
          <w:rFonts w:eastAsiaTheme="majorEastAsia"/>
        </w:rPr>
      </w:pPr>
      <w:r>
        <w:t xml:space="preserve">California Department of Education, 2018b. California State Board of Education November 2018 Agenda, Item #3. </w:t>
      </w:r>
      <w:hyperlink r:id="rId44" w:tooltip="SBE Agenda for November 2018" w:history="1">
        <w:r w:rsidRPr="00C130A9">
          <w:rPr>
            <w:rStyle w:val="Hyperlink"/>
            <w:rFonts w:eastAsiaTheme="majorEastAsia"/>
          </w:rPr>
          <w:t>https://www.cde.ca.gov/be/ag/ag/yr18/agenda201811.asp</w:t>
        </w:r>
      </w:hyperlink>
    </w:p>
    <w:p w14:paraId="4DB5798E" w14:textId="77777777" w:rsidR="009C0202" w:rsidRDefault="009C0202" w:rsidP="00511C18">
      <w:pPr>
        <w:spacing w:before="240" w:after="240"/>
      </w:pPr>
      <w:r>
        <w:lastRenderedPageBreak/>
        <w:t xml:space="preserve">California Department of Education. 2019a. </w:t>
      </w:r>
      <w:r w:rsidRPr="007F0D98">
        <w:rPr>
          <w:i/>
        </w:rPr>
        <w:t>California Equity Performance and Improvement Program 2018 Legislative Report</w:t>
      </w:r>
      <w:r>
        <w:t xml:space="preserve">. Sacramento, CA: Author. </w:t>
      </w:r>
      <w:hyperlink r:id="rId45" w:tooltip="CA Equity Performance and Improvement Program" w:history="1">
        <w:r w:rsidRPr="00F45826">
          <w:rPr>
            <w:rStyle w:val="Hyperlink"/>
            <w:rFonts w:eastAsiaTheme="majorEastAsia"/>
          </w:rPr>
          <w:t>https://www.cde.ca.gov/sp/sw/t1/equity.asp</w:t>
        </w:r>
      </w:hyperlink>
      <w:r>
        <w:t xml:space="preserve"> </w:t>
      </w:r>
    </w:p>
    <w:p w14:paraId="4605093D" w14:textId="470EB809" w:rsidR="0030243C" w:rsidRDefault="0030243C" w:rsidP="00511C18">
      <w:pPr>
        <w:spacing w:before="240" w:after="240"/>
      </w:pPr>
      <w:r>
        <w:t>California Department of Education. 20</w:t>
      </w:r>
      <w:r w:rsidR="009C0202">
        <w:t>19b</w:t>
      </w:r>
      <w:r>
        <w:t xml:space="preserve">. </w:t>
      </w:r>
      <w:r w:rsidRPr="0030243C">
        <w:rPr>
          <w:i/>
        </w:rPr>
        <w:t>State Superintendent Tony Thurmond 2019 Priority Initiatives</w:t>
      </w:r>
      <w:r>
        <w:t xml:space="preserve">. Sacramento, CA: Author. </w:t>
      </w:r>
      <w:hyperlink r:id="rId46" w:tooltip="Open the &quot;State superintendent Tony Thurmaond 2019 Priority Initiatives&quot; PDF file" w:history="1">
        <w:r w:rsidRPr="00AD3F88">
          <w:rPr>
            <w:rStyle w:val="Hyperlink"/>
          </w:rPr>
          <w:t>https://www.cde.ca.gov/eo/in/documents/spipriorityinitiatives.pdf</w:t>
        </w:r>
      </w:hyperlink>
      <w:r>
        <w:t xml:space="preserve"> </w:t>
      </w:r>
    </w:p>
    <w:p w14:paraId="4A403C08" w14:textId="348C9910" w:rsidR="007C7166" w:rsidRDefault="007C7166" w:rsidP="00511C18">
      <w:pPr>
        <w:spacing w:before="240" w:after="240"/>
      </w:pPr>
      <w:r>
        <w:t>Californi</w:t>
      </w:r>
      <w:r w:rsidR="009C0202">
        <w:t>a Department of Education. 2019c</w:t>
      </w:r>
      <w:r>
        <w:t xml:space="preserve">. California School Dashboard. </w:t>
      </w:r>
      <w:hyperlink r:id="rId47" w:tooltip="Link to the California School Dashobard web site" w:history="1">
        <w:r w:rsidRPr="00AD3F88">
          <w:rPr>
            <w:rStyle w:val="Hyperlink"/>
          </w:rPr>
          <w:t>https://www.caschooldashboard.org/</w:t>
        </w:r>
      </w:hyperlink>
      <w:r>
        <w:t xml:space="preserve">  </w:t>
      </w:r>
    </w:p>
    <w:p w14:paraId="1D4BD4B4" w14:textId="4F4C0732" w:rsidR="0030243C" w:rsidRDefault="0030243C" w:rsidP="00511C18">
      <w:pPr>
        <w:spacing w:before="240" w:after="240"/>
      </w:pPr>
      <w:r w:rsidRPr="0030243C">
        <w:t>California Department of Education. 2019</w:t>
      </w:r>
      <w:r w:rsidR="009C0202">
        <w:t>d</w:t>
      </w:r>
      <w:r w:rsidRPr="0030243C">
        <w:t xml:space="preserve">. California Assessment of Student Performance and Progress Results. </w:t>
      </w:r>
      <w:hyperlink r:id="rId48" w:tooltip="Link to the CAASPP web page" w:history="1">
        <w:r w:rsidRPr="00AD3F88">
          <w:rPr>
            <w:rStyle w:val="Hyperlink"/>
          </w:rPr>
          <w:t>https://caaspp-elpac.cde.ca.gov/caaspp/</w:t>
        </w:r>
      </w:hyperlink>
    </w:p>
    <w:p w14:paraId="012BB00C" w14:textId="77777777" w:rsidR="000664BA" w:rsidRDefault="000664BA" w:rsidP="00511C18">
      <w:pPr>
        <w:spacing w:before="240" w:after="240"/>
      </w:pPr>
      <w:r>
        <w:t>Californi</w:t>
      </w:r>
      <w:r w:rsidR="006009C8">
        <w:t>a Department of Education, 2019e</w:t>
      </w:r>
      <w:r>
        <w:t xml:space="preserve">. California State Board of Education March 2019 Agenda, Item #2. </w:t>
      </w:r>
      <w:hyperlink r:id="rId49" w:tooltip="SBE Meeting for March 2019" w:history="1">
        <w:r w:rsidRPr="00C130A9">
          <w:rPr>
            <w:rStyle w:val="Hyperlink"/>
            <w:rFonts w:eastAsiaTheme="majorEastAsia"/>
          </w:rPr>
          <w:t>https://www.cde.ca.gov/be/ag/ag/main201903.asp</w:t>
        </w:r>
      </w:hyperlink>
    </w:p>
    <w:p w14:paraId="040D67BF" w14:textId="6A584172" w:rsidR="000664BA" w:rsidRDefault="004531E0" w:rsidP="00511C18">
      <w:pPr>
        <w:spacing w:before="240" w:after="240"/>
      </w:pPr>
      <w:r>
        <w:t>Dahill-Brown, S.</w:t>
      </w:r>
      <w:r w:rsidR="000664BA">
        <w:t xml:space="preserve"> E. 2019. </w:t>
      </w:r>
      <w:r w:rsidR="000664BA" w:rsidRPr="00FE4D37">
        <w:t>Education, Equity and the States: How Variations in State Governance Make or Break Reform. Boston</w:t>
      </w:r>
      <w:r w:rsidR="000664BA" w:rsidRPr="00441A27">
        <w:t xml:space="preserve">, </w:t>
      </w:r>
      <w:r w:rsidR="000664BA" w:rsidRPr="00FE4D37">
        <w:rPr>
          <w:i/>
        </w:rPr>
        <w:t>Harvard Education Press</w:t>
      </w:r>
    </w:p>
    <w:p w14:paraId="1151C463" w14:textId="12B1A67D" w:rsidR="000664BA" w:rsidRDefault="004531E0" w:rsidP="00511C18">
      <w:pPr>
        <w:spacing w:before="240" w:after="240"/>
      </w:pPr>
      <w:r>
        <w:t>Darling-Hammond, L</w:t>
      </w:r>
      <w:r w:rsidR="000664BA">
        <w:t xml:space="preserve">. 2010. </w:t>
      </w:r>
      <w:r w:rsidR="000664BA" w:rsidRPr="00FE4D37">
        <w:t>The Flat World and Education: How America’s Commitment to Equity Will Determine Our Future.</w:t>
      </w:r>
      <w:r w:rsidR="000664BA">
        <w:t xml:space="preserve"> </w:t>
      </w:r>
      <w:r w:rsidR="000664BA" w:rsidRPr="00FE4D37">
        <w:rPr>
          <w:i/>
        </w:rPr>
        <w:t>Teachers College Press</w:t>
      </w:r>
    </w:p>
    <w:p w14:paraId="08E7B935" w14:textId="4E0B6CBE" w:rsidR="000664BA" w:rsidRDefault="004531E0" w:rsidP="00511C18">
      <w:pPr>
        <w:spacing w:before="240" w:after="240"/>
      </w:pPr>
      <w:r>
        <w:t>Darling-Hammond, L</w:t>
      </w:r>
      <w:r w:rsidR="000664BA">
        <w:t xml:space="preserve">. 2014. Want to Close the Achievement Gap? Close the Teaching Gap. </w:t>
      </w:r>
      <w:r w:rsidR="000664BA" w:rsidRPr="009A5A17">
        <w:rPr>
          <w:i/>
        </w:rPr>
        <w:t>American Educator, 38</w:t>
      </w:r>
      <w:r w:rsidR="000664BA">
        <w:t>(4), pp14–18</w:t>
      </w:r>
    </w:p>
    <w:p w14:paraId="19852027" w14:textId="6AD3CB46" w:rsidR="00B718F6" w:rsidRDefault="00931667" w:rsidP="00C96771">
      <w:pPr>
        <w:spacing w:after="240"/>
      </w:pPr>
      <w:r>
        <w:t>Ed</w:t>
      </w:r>
      <w:r w:rsidR="00FE4D37">
        <w:t xml:space="preserve">ucation </w:t>
      </w:r>
      <w:r>
        <w:t xml:space="preserve">Trust-West. </w:t>
      </w:r>
      <w:r w:rsidR="000664BA">
        <w:t xml:space="preserve">2015. </w:t>
      </w:r>
      <w:r w:rsidR="000664BA" w:rsidRPr="00FE4D37">
        <w:t>Black Minds Matter: Supporting the Educational Success of Black Children in California.</w:t>
      </w:r>
      <w:r w:rsidR="000664BA">
        <w:t xml:space="preserve"> Oakland, CA: Author. </w:t>
      </w:r>
      <w:hyperlink r:id="rId50" w:tooltip="Black Minds Matter: Supporting the Educational Success of Black Children in California" w:history="1">
        <w:r w:rsidR="000664BA" w:rsidRPr="00AB6F8A">
          <w:rPr>
            <w:rStyle w:val="Hyperlink"/>
            <w:rFonts w:eastAsiaTheme="majorEastAsia"/>
          </w:rPr>
          <w:t>https://west.edtrust.org/resource/black-minds-matter-supporting-the-educational-success-of-black-children-in-california/</w:t>
        </w:r>
      </w:hyperlink>
      <w:r w:rsidR="000664BA">
        <w:t xml:space="preserve"> </w:t>
      </w:r>
    </w:p>
    <w:p w14:paraId="232F24FA" w14:textId="47A618D4" w:rsidR="000664BA" w:rsidRDefault="004531E0" w:rsidP="00511C18">
      <w:r>
        <w:t>Garcia, E. and E.</w:t>
      </w:r>
      <w:r w:rsidR="00564FB3">
        <w:t xml:space="preserve"> Weiss</w:t>
      </w:r>
      <w:r w:rsidR="000664BA">
        <w:t xml:space="preserve">. 2017. </w:t>
      </w:r>
      <w:r w:rsidR="000664BA" w:rsidRPr="00FE4D37">
        <w:t>Education Inequalities at the School Starting Gate</w:t>
      </w:r>
      <w:r w:rsidR="004A3A8F">
        <w:t xml:space="preserve">. </w:t>
      </w:r>
      <w:r w:rsidR="000664BA">
        <w:t xml:space="preserve">Chicago: </w:t>
      </w:r>
      <w:r w:rsidR="000664BA" w:rsidRPr="00FE4D37">
        <w:rPr>
          <w:i/>
        </w:rPr>
        <w:t>Economic Policy Institute</w:t>
      </w:r>
    </w:p>
    <w:p w14:paraId="62AA561F" w14:textId="6E56D888" w:rsidR="00B718F6" w:rsidRDefault="004531E0" w:rsidP="00511C18">
      <w:pPr>
        <w:spacing w:before="240" w:after="240"/>
      </w:pPr>
      <w:proofErr w:type="spellStart"/>
      <w:r>
        <w:t>Genishi</w:t>
      </w:r>
      <w:proofErr w:type="spellEnd"/>
      <w:r>
        <w:t>, C.</w:t>
      </w:r>
      <w:r w:rsidR="00C74158">
        <w:t xml:space="preserve"> and</w:t>
      </w:r>
      <w:r>
        <w:t xml:space="preserve"> A.</w:t>
      </w:r>
      <w:r w:rsidR="009D4ADB">
        <w:t xml:space="preserve"> Haa</w:t>
      </w:r>
      <w:r w:rsidR="000664BA">
        <w:t>s Dyson. 2015.</w:t>
      </w:r>
      <w:r w:rsidR="000664BA" w:rsidRPr="00FE4D37">
        <w:t xml:space="preserve"> Children, Language, and Literacy: Diverse Learners in Diverse Times.</w:t>
      </w:r>
      <w:r w:rsidR="000664BA">
        <w:t xml:space="preserve"> </w:t>
      </w:r>
      <w:r w:rsidR="000664BA" w:rsidRPr="00FE4D37">
        <w:rPr>
          <w:i/>
        </w:rPr>
        <w:t>Teachers’ College Press</w:t>
      </w:r>
    </w:p>
    <w:p w14:paraId="3BB6D228" w14:textId="616BF896" w:rsidR="000664BA" w:rsidRDefault="000664BA" w:rsidP="00511C18">
      <w:pPr>
        <w:spacing w:before="240" w:after="240"/>
      </w:pPr>
      <w:proofErr w:type="spellStart"/>
      <w:r w:rsidRPr="001A5FC6">
        <w:t>Gershenson</w:t>
      </w:r>
      <w:proofErr w:type="spellEnd"/>
      <w:r w:rsidRPr="001A5FC6">
        <w:t>, S</w:t>
      </w:r>
      <w:r w:rsidR="004531E0">
        <w:t>.</w:t>
      </w:r>
      <w:r w:rsidRPr="001A5FC6">
        <w:t>, S</w:t>
      </w:r>
      <w:r w:rsidR="004531E0">
        <w:t>.</w:t>
      </w:r>
      <w:r w:rsidR="00151EEA" w:rsidRPr="001A5FC6">
        <w:t xml:space="preserve"> </w:t>
      </w:r>
      <w:r w:rsidR="005C0EAE">
        <w:t>B. Holt, and</w:t>
      </w:r>
      <w:r>
        <w:t xml:space="preserve"> </w:t>
      </w:r>
      <w:r w:rsidRPr="001A5FC6">
        <w:t>N</w:t>
      </w:r>
      <w:r w:rsidR="004531E0">
        <w:t>.</w:t>
      </w:r>
      <w:r w:rsidR="00151EEA" w:rsidRPr="001A5FC6">
        <w:t xml:space="preserve"> </w:t>
      </w:r>
      <w:r w:rsidRPr="001A5FC6">
        <w:t>W. Papageorge.</w:t>
      </w:r>
      <w:r>
        <w:t xml:space="preserve"> 2016. </w:t>
      </w:r>
      <w:r w:rsidRPr="00441A27">
        <w:t>Who Believes in Me? The Effect of Student-Teacher Demographic Math on Teacher Expectations.</w:t>
      </w:r>
      <w:r w:rsidRPr="0003434B">
        <w:rPr>
          <w:i/>
        </w:rPr>
        <w:t xml:space="preserve"> </w:t>
      </w:r>
      <w:r w:rsidRPr="00441A27">
        <w:rPr>
          <w:i/>
        </w:rPr>
        <w:t>Economics of Education Review</w:t>
      </w:r>
      <w:r w:rsidRPr="0003434B">
        <w:rPr>
          <w:i/>
        </w:rPr>
        <w:t>, 52</w:t>
      </w:r>
      <w:r>
        <w:t xml:space="preserve"> June. pp 209–224. doi:</w:t>
      </w:r>
      <w:r w:rsidRPr="006915CD">
        <w:t>10.1016/j.econedurev.2016.03.002</w:t>
      </w:r>
    </w:p>
    <w:p w14:paraId="6FA91BC6" w14:textId="1C5B28E9" w:rsidR="000664BA" w:rsidRDefault="004531E0" w:rsidP="00511C18">
      <w:pPr>
        <w:spacing w:before="240" w:after="240"/>
      </w:pPr>
      <w:r>
        <w:t>Harris, A.</w:t>
      </w:r>
      <w:r w:rsidR="005C0EAE">
        <w:t xml:space="preserve"> and</w:t>
      </w:r>
      <w:r>
        <w:t xml:space="preserve"> Z.</w:t>
      </w:r>
      <w:r w:rsidR="000664BA">
        <w:t xml:space="preserve"> Leonard</w:t>
      </w:r>
      <w:r w:rsidR="005C0EAE">
        <w:t>o</w:t>
      </w:r>
      <w:r w:rsidR="000664BA">
        <w:t xml:space="preserve">. 2018. </w:t>
      </w:r>
      <w:r w:rsidR="000664BA" w:rsidRPr="00441A27">
        <w:t>Intersectionality, Race-Gender Subordination, and Education</w:t>
      </w:r>
      <w:r w:rsidR="000664BA">
        <w:t xml:space="preserve">. </w:t>
      </w:r>
      <w:r w:rsidR="000664BA" w:rsidRPr="00441A27">
        <w:rPr>
          <w:i/>
        </w:rPr>
        <w:t>Review of Research in Education</w:t>
      </w:r>
      <w:r w:rsidR="000664BA" w:rsidRPr="0003434B">
        <w:rPr>
          <w:i/>
        </w:rPr>
        <w:t>, 42</w:t>
      </w:r>
      <w:r w:rsidR="000664BA">
        <w:t xml:space="preserve">. pp 1–27. </w:t>
      </w:r>
      <w:proofErr w:type="spellStart"/>
      <w:r w:rsidR="000664BA">
        <w:t>doi</w:t>
      </w:r>
      <w:proofErr w:type="spellEnd"/>
      <w:r w:rsidR="000664BA">
        <w:t>: 10.3102/0091732X18759071</w:t>
      </w:r>
    </w:p>
    <w:p w14:paraId="459B7390" w14:textId="7E4F8814" w:rsidR="000664BA" w:rsidRDefault="000664BA" w:rsidP="00511C18">
      <w:pPr>
        <w:spacing w:before="240" w:after="240"/>
      </w:pPr>
      <w:r>
        <w:t xml:space="preserve">Johnson, </w:t>
      </w:r>
      <w:r w:rsidR="00AF3383">
        <w:t xml:space="preserve">Jr., </w:t>
      </w:r>
      <w:r>
        <w:t>J</w:t>
      </w:r>
      <w:r w:rsidR="004531E0">
        <w:t>.</w:t>
      </w:r>
      <w:r w:rsidR="00931667">
        <w:t xml:space="preserve"> </w:t>
      </w:r>
      <w:r>
        <w:t>F., C</w:t>
      </w:r>
      <w:r w:rsidR="004531E0">
        <w:t>.</w:t>
      </w:r>
      <w:r w:rsidR="00931667">
        <w:t xml:space="preserve"> L. Uline, and</w:t>
      </w:r>
      <w:r>
        <w:t xml:space="preserve"> L</w:t>
      </w:r>
      <w:r w:rsidR="004531E0">
        <w:t>.</w:t>
      </w:r>
      <w:r>
        <w:t xml:space="preserve"> G. Perez. 2017</w:t>
      </w:r>
      <w:r w:rsidRPr="00747D6F">
        <w:rPr>
          <w:i/>
        </w:rPr>
        <w:t>. Leadership in America’s Best Urban Schools</w:t>
      </w:r>
      <w:r>
        <w:t>. NY: Routledge</w:t>
      </w:r>
    </w:p>
    <w:p w14:paraId="77AD463B" w14:textId="32CB51E5" w:rsidR="000664BA" w:rsidRDefault="000664BA" w:rsidP="00511C18">
      <w:pPr>
        <w:spacing w:before="240" w:after="240"/>
      </w:pPr>
      <w:r>
        <w:lastRenderedPageBreak/>
        <w:t>Ladson-Billings, G</w:t>
      </w:r>
      <w:r w:rsidR="004531E0">
        <w:t>.</w:t>
      </w:r>
      <w:r>
        <w:t xml:space="preserve"> 2006. </w:t>
      </w:r>
      <w:r w:rsidRPr="00441A27">
        <w:t>From the Achievement Gap to the Education Debt: Understanding Achievement in U.S. Schools.</w:t>
      </w:r>
      <w:r>
        <w:t xml:space="preserve"> </w:t>
      </w:r>
      <w:r w:rsidRPr="00441A27">
        <w:rPr>
          <w:i/>
        </w:rPr>
        <w:t>Educational Research</w:t>
      </w:r>
      <w:r w:rsidRPr="00F10039">
        <w:rPr>
          <w:i/>
        </w:rPr>
        <w:t>, 35</w:t>
      </w:r>
      <w:r>
        <w:t>(7), pp 3–12.</w:t>
      </w:r>
    </w:p>
    <w:p w14:paraId="4D6C4D5A" w14:textId="7E44DC7B" w:rsidR="000664BA" w:rsidRDefault="000664BA" w:rsidP="00511C18">
      <w:pPr>
        <w:spacing w:before="240" w:after="240"/>
      </w:pPr>
      <w:r>
        <w:t>Ladson-Billings, G</w:t>
      </w:r>
      <w:r w:rsidR="004531E0">
        <w:t>.</w:t>
      </w:r>
      <w:r w:rsidR="00931667">
        <w:t xml:space="preserve"> and</w:t>
      </w:r>
      <w:r>
        <w:t xml:space="preserve"> W</w:t>
      </w:r>
      <w:r w:rsidR="004531E0">
        <w:t>.</w:t>
      </w:r>
      <w:r w:rsidR="005828EC">
        <w:t xml:space="preserve"> </w:t>
      </w:r>
      <w:r>
        <w:t xml:space="preserve">F. Tate, IV. 1995. </w:t>
      </w:r>
      <w:r w:rsidRPr="001A5FC6">
        <w:t>Toward a Critical Race Theory of Education</w:t>
      </w:r>
      <w:r w:rsidRPr="00931667">
        <w:rPr>
          <w:i/>
        </w:rPr>
        <w:t>.</w:t>
      </w:r>
      <w:r>
        <w:t xml:space="preserve"> </w:t>
      </w:r>
      <w:r w:rsidRPr="001A5FC6">
        <w:rPr>
          <w:i/>
        </w:rPr>
        <w:t>Teachers College Record</w:t>
      </w:r>
      <w:r w:rsidRPr="001C61B0">
        <w:rPr>
          <w:i/>
        </w:rPr>
        <w:t>, 97</w:t>
      </w:r>
      <w:r>
        <w:t>(1). pp 47–68.</w:t>
      </w:r>
    </w:p>
    <w:p w14:paraId="294C0874" w14:textId="22C423F5" w:rsidR="000664BA" w:rsidRPr="00B718F6" w:rsidRDefault="000664BA" w:rsidP="00511C18">
      <w:pPr>
        <w:spacing w:before="240"/>
      </w:pPr>
      <w:r>
        <w:t>Langley</w:t>
      </w:r>
      <w:r w:rsidRPr="001A5FC6">
        <w:t>, G</w:t>
      </w:r>
      <w:r w:rsidR="004531E0">
        <w:t>.</w:t>
      </w:r>
      <w:r w:rsidR="000C3ABE" w:rsidRPr="001A5FC6">
        <w:t xml:space="preserve"> J</w:t>
      </w:r>
      <w:r w:rsidRPr="001A5FC6">
        <w:t>., R</w:t>
      </w:r>
      <w:r w:rsidR="004531E0">
        <w:t>.</w:t>
      </w:r>
      <w:r w:rsidR="000C3ABE">
        <w:t xml:space="preserve"> D.</w:t>
      </w:r>
      <w:r>
        <w:t xml:space="preserve"> Moen, K</w:t>
      </w:r>
      <w:r w:rsidR="004531E0">
        <w:t xml:space="preserve">. </w:t>
      </w:r>
      <w:r w:rsidR="000C3ABE">
        <w:t>M</w:t>
      </w:r>
      <w:r>
        <w:t>. Nolan, T</w:t>
      </w:r>
      <w:r w:rsidR="004531E0">
        <w:t>.</w:t>
      </w:r>
      <w:r w:rsidR="000C3ABE">
        <w:t xml:space="preserve"> W</w:t>
      </w:r>
      <w:r>
        <w:t>. Nolan, C</w:t>
      </w:r>
      <w:r w:rsidR="004531E0">
        <w:t>.</w:t>
      </w:r>
      <w:r w:rsidR="000C3ABE">
        <w:t xml:space="preserve"> L</w:t>
      </w:r>
      <w:r w:rsidR="00C25A0A">
        <w:t>. Norman, and</w:t>
      </w:r>
      <w:r>
        <w:t xml:space="preserve"> L</w:t>
      </w:r>
      <w:r w:rsidR="004531E0">
        <w:t>.</w:t>
      </w:r>
      <w:r w:rsidR="000C3ABE">
        <w:t xml:space="preserve"> P</w:t>
      </w:r>
      <w:r>
        <w:t>. Provost. 2009.</w:t>
      </w:r>
      <w:r w:rsidR="000C3ABE">
        <w:t xml:space="preserve"> </w:t>
      </w:r>
      <w:r w:rsidRPr="00C25A0A">
        <w:rPr>
          <w:i/>
        </w:rPr>
        <w:t>The Improvement Guide: A Practical Appro</w:t>
      </w:r>
      <w:r w:rsidR="000C3ABE" w:rsidRPr="00C25A0A">
        <w:rPr>
          <w:i/>
        </w:rPr>
        <w:t xml:space="preserve">ach to Enhancing Organizational </w:t>
      </w:r>
      <w:r w:rsidRPr="00C25A0A">
        <w:rPr>
          <w:i/>
        </w:rPr>
        <w:t>Performance</w:t>
      </w:r>
      <w:r w:rsidRPr="00B718F6">
        <w:t>. Sussex: John Wiley and Sons</w:t>
      </w:r>
    </w:p>
    <w:p w14:paraId="64ED052F" w14:textId="25E5F22B" w:rsidR="000664BA" w:rsidRDefault="000664BA" w:rsidP="00511C18">
      <w:pPr>
        <w:spacing w:before="240" w:after="240"/>
      </w:pPr>
      <w:r>
        <w:t>Loeb, S</w:t>
      </w:r>
      <w:r w:rsidR="004531E0">
        <w:t>.</w:t>
      </w:r>
      <w:r>
        <w:t>, C</w:t>
      </w:r>
      <w:r w:rsidR="004531E0">
        <w:t>.</w:t>
      </w:r>
      <w:r w:rsidR="00151EEA">
        <w:t xml:space="preserve"> </w:t>
      </w:r>
      <w:proofErr w:type="spellStart"/>
      <w:r w:rsidR="00151EEA">
        <w:t>Edley</w:t>
      </w:r>
      <w:proofErr w:type="spellEnd"/>
      <w:r w:rsidR="00151EEA">
        <w:t>, Jr., J</w:t>
      </w:r>
      <w:r w:rsidR="004531E0">
        <w:t>.</w:t>
      </w:r>
      <w:r w:rsidR="002A4DD8">
        <w:t xml:space="preserve"> </w:t>
      </w:r>
      <w:proofErr w:type="spellStart"/>
      <w:r w:rsidR="00151EEA">
        <w:t>Imazeki</w:t>
      </w:r>
      <w:proofErr w:type="spellEnd"/>
      <w:r w:rsidR="00151EEA">
        <w:t>, and</w:t>
      </w:r>
      <w:r>
        <w:t xml:space="preserve"> D</w:t>
      </w:r>
      <w:r w:rsidR="004531E0">
        <w:t>.</w:t>
      </w:r>
      <w:r>
        <w:t xml:space="preserve"> Stipek, </w:t>
      </w:r>
      <w:r w:rsidRPr="00614F11">
        <w:rPr>
          <w:i/>
        </w:rPr>
        <w:t>Getting Down to Facts II: Current Conditions and Paths forward for California Schools</w:t>
      </w:r>
      <w:r>
        <w:t xml:space="preserve">. Policy Analysis for California Education (PACE), Stanford University. </w:t>
      </w:r>
      <w:hyperlink r:id="rId51" w:tooltip="Current Conditions and Paths" w:history="1">
        <w:r w:rsidRPr="00FE5DD5">
          <w:rPr>
            <w:rStyle w:val="Hyperlink"/>
            <w:rFonts w:eastAsiaTheme="majorEastAsia"/>
          </w:rPr>
          <w:t>https://gettingdowntofacts.com/sites/default/files/2018-09/GDTFII%20Summary%20Report.pdf</w:t>
        </w:r>
      </w:hyperlink>
      <w:r>
        <w:t xml:space="preserve"> </w:t>
      </w:r>
    </w:p>
    <w:p w14:paraId="73ECBB01" w14:textId="657C1C66" w:rsidR="00D25278" w:rsidRDefault="00D25278" w:rsidP="00511C18">
      <w:pPr>
        <w:spacing w:before="240" w:after="240"/>
      </w:pPr>
      <w:proofErr w:type="spellStart"/>
      <w:r>
        <w:t>Marackiewicz</w:t>
      </w:r>
      <w:proofErr w:type="spellEnd"/>
      <w:r>
        <w:t>, J</w:t>
      </w:r>
      <w:r w:rsidR="004531E0">
        <w:t>.</w:t>
      </w:r>
      <w:r>
        <w:t xml:space="preserve"> M., E</w:t>
      </w:r>
      <w:r w:rsidR="004531E0">
        <w:t>.</w:t>
      </w:r>
      <w:r>
        <w:t xml:space="preserve"> A. Canning, Y</w:t>
      </w:r>
      <w:r w:rsidR="004531E0">
        <w:t>.</w:t>
      </w:r>
      <w:r>
        <w:t xml:space="preserve"> Tibbetts, S</w:t>
      </w:r>
      <w:r w:rsidR="004531E0">
        <w:t xml:space="preserve">. </w:t>
      </w:r>
      <w:r w:rsidR="002A4DD8">
        <w:t xml:space="preserve">J. </w:t>
      </w:r>
      <w:proofErr w:type="spellStart"/>
      <w:r w:rsidR="002A4DD8">
        <w:t>Priniski</w:t>
      </w:r>
      <w:proofErr w:type="spellEnd"/>
      <w:r w:rsidR="002A4DD8">
        <w:t>, and</w:t>
      </w:r>
      <w:r>
        <w:t xml:space="preserve"> J</w:t>
      </w:r>
      <w:r w:rsidR="002A4DD8">
        <w:t>.</w:t>
      </w:r>
      <w:r>
        <w:t xml:space="preserve"> S. Hyde. 2016. </w:t>
      </w:r>
      <w:r w:rsidRPr="001A5FC6">
        <w:t xml:space="preserve">Closing Achievement Gaps with a Utility-Value Intervention Disentangling Race and Social Class. </w:t>
      </w:r>
      <w:r w:rsidRPr="001A5FC6">
        <w:rPr>
          <w:i/>
        </w:rPr>
        <w:t>Journal of Personality and Social Psychology</w:t>
      </w:r>
      <w:r w:rsidRPr="00AC7A02">
        <w:rPr>
          <w:i/>
        </w:rPr>
        <w:t>, 111</w:t>
      </w:r>
      <w:r>
        <w:t>(5) pp 745–765</w:t>
      </w:r>
    </w:p>
    <w:p w14:paraId="5BCF1AE2" w14:textId="2036AD3A" w:rsidR="000664BA" w:rsidRDefault="00151EEA" w:rsidP="00511C18">
      <w:pPr>
        <w:spacing w:before="240" w:after="240"/>
      </w:pPr>
      <w:r w:rsidRPr="00FE4D37">
        <w:t>M</w:t>
      </w:r>
      <w:r w:rsidR="00441A27" w:rsidRPr="00FE4D37">
        <w:t>e</w:t>
      </w:r>
      <w:r w:rsidRPr="00FE4D37">
        <w:t>yer</w:t>
      </w:r>
      <w:r w:rsidR="00441A27" w:rsidRPr="00FE4D37">
        <w:t>,</w:t>
      </w:r>
      <w:r w:rsidRPr="00FE4D37">
        <w:t xml:space="preserve"> B</w:t>
      </w:r>
      <w:r w:rsidR="002A4DD8">
        <w:t>.</w:t>
      </w:r>
      <w:r w:rsidRPr="00FE4D37">
        <w:t xml:space="preserve"> </w:t>
      </w:r>
      <w:r w:rsidR="000664BA" w:rsidRPr="00FE4D37">
        <w:t>D. 1995</w:t>
      </w:r>
      <w:r w:rsidR="000664BA">
        <w:t xml:space="preserve">. </w:t>
      </w:r>
      <w:r w:rsidR="000664BA" w:rsidRPr="001A5FC6">
        <w:t>Natural and Quasi-Experiments in Economics,</w:t>
      </w:r>
      <w:r w:rsidR="000664BA">
        <w:t xml:space="preserve"> </w:t>
      </w:r>
      <w:r w:rsidR="000664BA" w:rsidRPr="001A5FC6">
        <w:rPr>
          <w:i/>
        </w:rPr>
        <w:t>Journal of Business &amp; Economic Statistics</w:t>
      </w:r>
      <w:r w:rsidR="000664BA" w:rsidRPr="00441A27">
        <w:t xml:space="preserve"> 13(2</w:t>
      </w:r>
      <w:r w:rsidR="000664BA">
        <w:t>). JBES Symposium on Program and Policy Evaluation. pp 151–161</w:t>
      </w:r>
    </w:p>
    <w:p w14:paraId="33474451" w14:textId="77777777" w:rsidR="000664BA" w:rsidRDefault="000664BA" w:rsidP="00511C18">
      <w:pPr>
        <w:spacing w:before="240" w:after="240"/>
      </w:pPr>
      <w:r>
        <w:t xml:space="preserve">National Center for Education Statistics. 2019. </w:t>
      </w:r>
      <w:r w:rsidRPr="00441A27">
        <w:rPr>
          <w:i/>
        </w:rPr>
        <w:t>Achievement Gaps</w:t>
      </w:r>
      <w:r>
        <w:t>.</w:t>
      </w:r>
      <w:r w:rsidRPr="00AF53FD">
        <w:t xml:space="preserve"> </w:t>
      </w:r>
      <w:hyperlink r:id="rId52" w:tooltip="National Center for Education Statistics" w:history="1">
        <w:r w:rsidRPr="00AB6F8A">
          <w:rPr>
            <w:rStyle w:val="Hyperlink"/>
            <w:rFonts w:eastAsiaTheme="majorEastAsia"/>
          </w:rPr>
          <w:t>https://nces.ed.gov/nationsreportcard/studies/gaps/</w:t>
        </w:r>
      </w:hyperlink>
    </w:p>
    <w:p w14:paraId="5014A6B3" w14:textId="0E9C93D7" w:rsidR="001746ED" w:rsidRDefault="000664BA" w:rsidP="00511C18">
      <w:pPr>
        <w:spacing w:before="240" w:after="240"/>
        <w:rPr>
          <w:rStyle w:val="Hyperlink"/>
          <w:rFonts w:eastAsiaTheme="majorEastAsia"/>
        </w:rPr>
      </w:pPr>
      <w:proofErr w:type="spellStart"/>
      <w:r>
        <w:t>Orfield</w:t>
      </w:r>
      <w:proofErr w:type="spellEnd"/>
      <w:r>
        <w:t>, G</w:t>
      </w:r>
      <w:r w:rsidR="002A4DD8">
        <w:t>.</w:t>
      </w:r>
      <w:r>
        <w:t>, E</w:t>
      </w:r>
      <w:r w:rsidR="002A4DD8">
        <w:t>.</w:t>
      </w:r>
      <w:r>
        <w:t xml:space="preserve"> Frankenberg, J</w:t>
      </w:r>
      <w:r w:rsidR="002A4DD8">
        <w:t>.</w:t>
      </w:r>
      <w:r w:rsidR="001A5FC6">
        <w:t xml:space="preserve"> </w:t>
      </w:r>
      <w:proofErr w:type="spellStart"/>
      <w:r w:rsidR="001A5FC6">
        <w:t>Ee</w:t>
      </w:r>
      <w:proofErr w:type="spellEnd"/>
      <w:r w:rsidR="001A5FC6">
        <w:t>, and</w:t>
      </w:r>
      <w:r>
        <w:t xml:space="preserve"> J</w:t>
      </w:r>
      <w:r w:rsidR="002A4DD8">
        <w:t>.</w:t>
      </w:r>
      <w:r>
        <w:t xml:space="preserve"> </w:t>
      </w:r>
      <w:proofErr w:type="spellStart"/>
      <w:r>
        <w:t>Kuscera</w:t>
      </w:r>
      <w:proofErr w:type="spellEnd"/>
      <w:r>
        <w:t>. 2014. Brown at 60: Grea</w:t>
      </w:r>
      <w:r w:rsidR="001A5FC6">
        <w:t>t Progress, a Long Retreat and a</w:t>
      </w:r>
      <w:r>
        <w:t xml:space="preserve">n Uncertain Future. </w:t>
      </w:r>
      <w:r w:rsidRPr="00F35F74">
        <w:rPr>
          <w:i/>
        </w:rPr>
        <w:t>The Civil Rights Project</w:t>
      </w:r>
      <w:r>
        <w:t>, Universi</w:t>
      </w:r>
      <w:r w:rsidR="00516830">
        <w:t xml:space="preserve">ty of California, Los Angeles. </w:t>
      </w:r>
      <w:hyperlink r:id="rId53" w:tooltip="Brown at 60 Great Progress, a Long Retreat and an Uncertain Future" w:history="1">
        <w:r w:rsidRPr="00C52025">
          <w:rPr>
            <w:rStyle w:val="Hyperlink"/>
            <w:rFonts w:eastAsiaTheme="majorEastAsia"/>
          </w:rPr>
          <w:t>https://civilrightsproject.ucla.edu/research/k-12-education/integration-and-diversity/brown-at-60-great-progress-a-long-retreat-and-an-uncertain-future/Brown-at-60-051814.pdf</w:t>
        </w:r>
      </w:hyperlink>
    </w:p>
    <w:p w14:paraId="434C019C" w14:textId="3E869862" w:rsidR="00516830" w:rsidRDefault="00516830" w:rsidP="00511C18">
      <w:pPr>
        <w:widowControl/>
        <w:rPr>
          <w:rFonts w:cs="Arial"/>
          <w:snapToGrid/>
          <w:spacing w:val="2"/>
          <w:szCs w:val="24"/>
        </w:rPr>
      </w:pPr>
      <w:proofErr w:type="spellStart"/>
      <w:r w:rsidRPr="00516830">
        <w:rPr>
          <w:rFonts w:cs="Arial"/>
          <w:snapToGrid/>
          <w:spacing w:val="2"/>
          <w:szCs w:val="24"/>
        </w:rPr>
        <w:t>Paschall</w:t>
      </w:r>
      <w:proofErr w:type="spellEnd"/>
      <w:r w:rsidRPr="00516830">
        <w:rPr>
          <w:rFonts w:cs="Arial"/>
          <w:snapToGrid/>
          <w:spacing w:val="2"/>
          <w:szCs w:val="24"/>
        </w:rPr>
        <w:t>, K</w:t>
      </w:r>
      <w:r w:rsidR="002A4DD8">
        <w:rPr>
          <w:rFonts w:cs="Arial"/>
          <w:snapToGrid/>
          <w:spacing w:val="2"/>
          <w:szCs w:val="24"/>
        </w:rPr>
        <w:t>.</w:t>
      </w:r>
      <w:r>
        <w:rPr>
          <w:rFonts w:cs="Arial"/>
          <w:snapToGrid/>
          <w:spacing w:val="2"/>
          <w:szCs w:val="24"/>
        </w:rPr>
        <w:t xml:space="preserve"> W., E</w:t>
      </w:r>
      <w:r w:rsidR="002A4DD8">
        <w:rPr>
          <w:rFonts w:cs="Arial"/>
          <w:snapToGrid/>
          <w:spacing w:val="2"/>
          <w:szCs w:val="24"/>
        </w:rPr>
        <w:t>.</w:t>
      </w:r>
      <w:r>
        <w:rPr>
          <w:rFonts w:cs="Arial"/>
          <w:snapToGrid/>
          <w:spacing w:val="2"/>
          <w:szCs w:val="24"/>
        </w:rPr>
        <w:t xml:space="preserve"> T. Gershoff, and M</w:t>
      </w:r>
      <w:r w:rsidR="002A4DD8">
        <w:rPr>
          <w:rFonts w:cs="Arial"/>
          <w:snapToGrid/>
          <w:spacing w:val="2"/>
          <w:szCs w:val="24"/>
        </w:rPr>
        <w:t xml:space="preserve">. </w:t>
      </w:r>
      <w:proofErr w:type="spellStart"/>
      <w:r>
        <w:rPr>
          <w:rFonts w:cs="Arial"/>
          <w:snapToGrid/>
          <w:spacing w:val="2"/>
          <w:szCs w:val="24"/>
        </w:rPr>
        <w:t>Kuhfeld</w:t>
      </w:r>
      <w:proofErr w:type="spellEnd"/>
      <w:r>
        <w:rPr>
          <w:rFonts w:cs="Arial"/>
          <w:snapToGrid/>
          <w:spacing w:val="2"/>
          <w:szCs w:val="24"/>
        </w:rPr>
        <w:t>. 2018</w:t>
      </w:r>
      <w:r w:rsidRPr="00516830">
        <w:rPr>
          <w:rFonts w:cs="Arial"/>
          <w:snapToGrid/>
          <w:spacing w:val="2"/>
          <w:szCs w:val="24"/>
        </w:rPr>
        <w:t xml:space="preserve">. </w:t>
      </w:r>
      <w:r w:rsidR="001A5FC6" w:rsidRPr="001A5FC6">
        <w:rPr>
          <w:rFonts w:cs="Arial"/>
          <w:snapToGrid/>
          <w:spacing w:val="2"/>
          <w:szCs w:val="24"/>
        </w:rPr>
        <w:t>A Two Decade Examination of Historical Race/Ethnicity Disparities in Academic Achievement by Poverty Status.</w:t>
      </w:r>
      <w:r w:rsidR="001A5FC6">
        <w:rPr>
          <w:rFonts w:cs="Arial"/>
          <w:snapToGrid/>
          <w:spacing w:val="2"/>
          <w:szCs w:val="24"/>
        </w:rPr>
        <w:t xml:space="preserve"> </w:t>
      </w:r>
      <w:r w:rsidRPr="00516830">
        <w:rPr>
          <w:rFonts w:cs="Arial"/>
          <w:i/>
          <w:snapToGrid/>
          <w:spacing w:val="2"/>
          <w:szCs w:val="24"/>
        </w:rPr>
        <w:t>Journal of Youth Adolescence 47(</w:t>
      </w:r>
      <w:r>
        <w:rPr>
          <w:rFonts w:cs="Arial"/>
          <w:snapToGrid/>
          <w:spacing w:val="2"/>
          <w:szCs w:val="24"/>
        </w:rPr>
        <w:t>6)</w:t>
      </w:r>
      <w:r w:rsidRPr="00516830">
        <w:rPr>
          <w:rFonts w:cs="Arial"/>
          <w:snapToGrid/>
          <w:spacing w:val="2"/>
          <w:szCs w:val="24"/>
        </w:rPr>
        <w:t>: 1164</w:t>
      </w:r>
      <w:r>
        <w:rPr>
          <w:rFonts w:cs="Arial"/>
          <w:snapToGrid/>
          <w:spacing w:val="2"/>
          <w:szCs w:val="24"/>
        </w:rPr>
        <w:t xml:space="preserve">–1177. </w:t>
      </w:r>
      <w:r w:rsidRPr="00516830">
        <w:rPr>
          <w:rFonts w:cs="Arial"/>
          <w:snapToGrid/>
          <w:spacing w:val="2"/>
          <w:szCs w:val="24"/>
        </w:rPr>
        <w:t>doi.org/10.1007/s10964-017-0800-7</w:t>
      </w:r>
    </w:p>
    <w:p w14:paraId="55E69CAE" w14:textId="53192ACC" w:rsidR="000664BA" w:rsidRDefault="000664BA" w:rsidP="00511C18">
      <w:pPr>
        <w:spacing w:before="240" w:after="240"/>
      </w:pPr>
      <w:r>
        <w:t>Pearman, II, F</w:t>
      </w:r>
      <w:r w:rsidR="002A4DD8">
        <w:t>. A., F. C.</w:t>
      </w:r>
      <w:r>
        <w:t xml:space="preserve"> Curran, B</w:t>
      </w:r>
      <w:r w:rsidR="002A4DD8">
        <w:t xml:space="preserve">. </w:t>
      </w:r>
      <w:r>
        <w:t>Fisher, and J</w:t>
      </w:r>
      <w:r w:rsidR="002A4DD8">
        <w:t>.</w:t>
      </w:r>
      <w:r>
        <w:t xml:space="preserve"> Gardella. 2019. Are Achievement Gaps Related to Discipline Gaps? Evidence from National Data. </w:t>
      </w:r>
      <w:r w:rsidRPr="00BA38AF">
        <w:rPr>
          <w:i/>
        </w:rPr>
        <w:t>AREA Open 5</w:t>
      </w:r>
      <w:r>
        <w:t xml:space="preserve">(4). Pp 1–8. </w:t>
      </w:r>
      <w:proofErr w:type="spellStart"/>
      <w:r>
        <w:t>doi</w:t>
      </w:r>
      <w:proofErr w:type="spellEnd"/>
      <w:r>
        <w:t>: 10.1177/2332858419875440</w:t>
      </w:r>
    </w:p>
    <w:p w14:paraId="0B15A557" w14:textId="52677AE7" w:rsidR="000664BA" w:rsidRDefault="000664BA" w:rsidP="00511C18">
      <w:pPr>
        <w:spacing w:before="240" w:after="240"/>
      </w:pPr>
      <w:r>
        <w:t>Rothstein, R</w:t>
      </w:r>
      <w:r w:rsidR="002A4DD8">
        <w:t>.</w:t>
      </w:r>
      <w:r>
        <w:t xml:space="preserve"> 2015. The Racial Achievement Gap, Segregated Schools, and Segregated Neighborhoods: A Constitutional Insult. </w:t>
      </w:r>
      <w:r w:rsidRPr="006D74D0">
        <w:rPr>
          <w:i/>
        </w:rPr>
        <w:t>Race and Social Problems 7</w:t>
      </w:r>
      <w:r>
        <w:t xml:space="preserve">(1), pp 21–30. </w:t>
      </w:r>
      <w:hyperlink r:id="rId54" w:tooltip="The Racial Achievement Gap, Segregated Schools, and Segregated Neighborhoods: A Constitutional Insult" w:history="1">
        <w:r w:rsidRPr="005F2185">
          <w:rPr>
            <w:rStyle w:val="Hyperlink"/>
            <w:rFonts w:eastAsiaTheme="majorEastAsia"/>
          </w:rPr>
          <w:t>https://link.springer.com/article/10.1007/s12552-014-9134-1</w:t>
        </w:r>
      </w:hyperlink>
    </w:p>
    <w:p w14:paraId="5874C42F" w14:textId="2928BDB2" w:rsidR="000664BA" w:rsidRDefault="000664BA" w:rsidP="00511C18">
      <w:pPr>
        <w:spacing w:before="240" w:after="240"/>
      </w:pPr>
      <w:r>
        <w:t>Reardon, S</w:t>
      </w:r>
      <w:r w:rsidR="002A4DD8">
        <w:t>.</w:t>
      </w:r>
      <w:r w:rsidR="005D26DC">
        <w:t xml:space="preserve"> </w:t>
      </w:r>
      <w:r>
        <w:t xml:space="preserve">F. (2011). </w:t>
      </w:r>
      <w:r w:rsidRPr="005D26DC">
        <w:rPr>
          <w:i/>
        </w:rPr>
        <w:t>The Widening Academic Achievement Gap Between the Rich and the Poor: New Evidence and Possible Explanations</w:t>
      </w:r>
      <w:r>
        <w:t xml:space="preserve">. In Greg J. Duncan and Richard J. Murnane (Ed). </w:t>
      </w:r>
      <w:r w:rsidRPr="006D74D0">
        <w:t xml:space="preserve">Whither Opportunity? Rising Inequality, Schools, and </w:t>
      </w:r>
      <w:r w:rsidRPr="006D74D0">
        <w:lastRenderedPageBreak/>
        <w:t>Children’s Life Chances</w:t>
      </w:r>
      <w:r>
        <w:t>. NY: Russell Sage Foundation</w:t>
      </w:r>
    </w:p>
    <w:p w14:paraId="12972727" w14:textId="7299C8A9" w:rsidR="00D72F11" w:rsidRPr="00D72F11" w:rsidRDefault="00D72F11" w:rsidP="00511C18">
      <w:pPr>
        <w:spacing w:before="240" w:after="240"/>
      </w:pPr>
      <w:r>
        <w:t xml:space="preserve">San Diego County Office of Education. 2019. </w:t>
      </w:r>
      <w:r w:rsidRPr="00D72F11">
        <w:rPr>
          <w:i/>
        </w:rPr>
        <w:t>A Focus on Equity: A Progress Report</w:t>
      </w:r>
      <w:r>
        <w:rPr>
          <w:i/>
        </w:rPr>
        <w:t>.</w:t>
      </w:r>
      <w:r w:rsidRPr="00D72F11">
        <w:t xml:space="preserve"> </w:t>
      </w:r>
      <w:hyperlink r:id="rId55" w:tooltip="Open the A focus on equity: A progress report PDF file" w:history="1">
        <w:r w:rsidRPr="00D72F11">
          <w:rPr>
            <w:rStyle w:val="Hyperlink"/>
          </w:rPr>
          <w:t>https://www.sdcoe.net/lls/equity/Pages/Equity-Grant.aspx</w:t>
        </w:r>
      </w:hyperlink>
    </w:p>
    <w:p w14:paraId="4BC5C21B" w14:textId="70EC9016" w:rsidR="000664BA" w:rsidRDefault="00257CF0" w:rsidP="00511C18">
      <w:pPr>
        <w:spacing w:before="240" w:after="240"/>
      </w:pPr>
      <w:r>
        <w:t>Singleton, G</w:t>
      </w:r>
      <w:r w:rsidR="002A4DD8">
        <w:t>.</w:t>
      </w:r>
      <w:r w:rsidR="000664BA">
        <w:t xml:space="preserve"> E. 2015. </w:t>
      </w:r>
      <w:r w:rsidR="000664BA">
        <w:rPr>
          <w:i/>
          <w:iCs/>
        </w:rPr>
        <w:t xml:space="preserve">Courageous Conversations About Race: A Field Guide </w:t>
      </w:r>
      <w:proofErr w:type="gramStart"/>
      <w:r w:rsidR="000664BA">
        <w:rPr>
          <w:i/>
          <w:iCs/>
        </w:rPr>
        <w:t>For</w:t>
      </w:r>
      <w:proofErr w:type="gramEnd"/>
      <w:r w:rsidR="000664BA">
        <w:rPr>
          <w:i/>
          <w:iCs/>
        </w:rPr>
        <w:t xml:space="preserve"> Achieving Equity in School</w:t>
      </w:r>
      <w:r w:rsidR="000664BA">
        <w:t>. Thousand Oaks, CA: Corwin</w:t>
      </w:r>
    </w:p>
    <w:p w14:paraId="32190EB2" w14:textId="1125AAA7" w:rsidR="000664BA" w:rsidRDefault="00257CF0" w:rsidP="00511C18">
      <w:pPr>
        <w:spacing w:before="240" w:after="240"/>
      </w:pPr>
      <w:r>
        <w:t>Skiba, R</w:t>
      </w:r>
      <w:r w:rsidR="002A4DD8">
        <w:t>.</w:t>
      </w:r>
      <w:r>
        <w:t xml:space="preserve"> </w:t>
      </w:r>
      <w:r w:rsidR="000664BA">
        <w:t>J.</w:t>
      </w:r>
      <w:r>
        <w:t xml:space="preserve">, </w:t>
      </w:r>
      <w:r w:rsidR="002A4DD8">
        <w:t>A. B. Simmons, S. Ritter, A.</w:t>
      </w:r>
      <w:r>
        <w:t xml:space="preserve"> C. Gibb, M</w:t>
      </w:r>
      <w:r w:rsidR="00AF3383">
        <w:t>.</w:t>
      </w:r>
      <w:r>
        <w:t xml:space="preserve"> </w:t>
      </w:r>
      <w:proofErr w:type="spellStart"/>
      <w:r w:rsidR="002A4DD8">
        <w:t>Karega</w:t>
      </w:r>
      <w:proofErr w:type="spellEnd"/>
      <w:r w:rsidR="002A4DD8">
        <w:t xml:space="preserve"> Rausch, J.</w:t>
      </w:r>
      <w:r>
        <w:t xml:space="preserve"> </w:t>
      </w:r>
      <w:proofErr w:type="spellStart"/>
      <w:r>
        <w:t>Cuadrado</w:t>
      </w:r>
      <w:proofErr w:type="spellEnd"/>
      <w:r>
        <w:t>, C</w:t>
      </w:r>
      <w:r w:rsidR="002A4DD8">
        <w:t>.</w:t>
      </w:r>
      <w:r>
        <w:t xml:space="preserve"> G</w:t>
      </w:r>
      <w:r w:rsidR="002A4DD8">
        <w:t>.</w:t>
      </w:r>
      <w:r>
        <w:t xml:space="preserve"> Chung</w:t>
      </w:r>
      <w:r w:rsidR="000664BA">
        <w:t>. 2008. Achieving Equity in Special Education History, Status, and Current Challenges</w:t>
      </w:r>
      <w:r w:rsidR="000664BA" w:rsidRPr="00CB5C72">
        <w:rPr>
          <w:i/>
        </w:rPr>
        <w:t>. Exceptional Children 74</w:t>
      </w:r>
      <w:r w:rsidR="000664BA">
        <w:t>(3). pp 264–288.</w:t>
      </w:r>
    </w:p>
    <w:p w14:paraId="0655A400" w14:textId="7B01E05D" w:rsidR="000664BA" w:rsidRDefault="00AF3383" w:rsidP="00511C18">
      <w:pPr>
        <w:spacing w:before="240" w:after="240"/>
      </w:pPr>
      <w:proofErr w:type="spellStart"/>
      <w:r>
        <w:t>Skrla</w:t>
      </w:r>
      <w:proofErr w:type="spellEnd"/>
      <w:r>
        <w:t>, L</w:t>
      </w:r>
      <w:r w:rsidR="002A4DD8">
        <w:t xml:space="preserve">. </w:t>
      </w:r>
      <w:r>
        <w:t>and</w:t>
      </w:r>
      <w:r w:rsidR="002A4DD8">
        <w:t xml:space="preserve"> J.</w:t>
      </w:r>
      <w:r w:rsidR="000664BA">
        <w:t xml:space="preserve"> J</w:t>
      </w:r>
      <w:r w:rsidR="002A4DD8">
        <w:t>.</w:t>
      </w:r>
      <w:r w:rsidR="000664BA">
        <w:t xml:space="preserve"> </w:t>
      </w:r>
      <w:proofErr w:type="spellStart"/>
      <w:r w:rsidR="000664BA">
        <w:t>Scheurich</w:t>
      </w:r>
      <w:proofErr w:type="spellEnd"/>
      <w:r w:rsidR="000664BA">
        <w:t xml:space="preserve">. 2004. </w:t>
      </w:r>
      <w:r w:rsidR="000664BA" w:rsidRPr="0075268E">
        <w:rPr>
          <w:i/>
        </w:rPr>
        <w:t>Educational Equity and Accountability: Paradigms, Policies, and Politics</w:t>
      </w:r>
      <w:r w:rsidR="000664BA">
        <w:t xml:space="preserve"> (Ed.). NY: </w:t>
      </w:r>
      <w:proofErr w:type="spellStart"/>
      <w:r w:rsidR="000664BA">
        <w:t>RoutledgeFalmer</w:t>
      </w:r>
      <w:proofErr w:type="spellEnd"/>
    </w:p>
    <w:p w14:paraId="1E81459B" w14:textId="420B539E" w:rsidR="000664BA" w:rsidRDefault="000664BA" w:rsidP="00511C18">
      <w:pPr>
        <w:spacing w:before="240" w:after="240"/>
      </w:pPr>
      <w:r>
        <w:t xml:space="preserve">The Deming Institute. 2019. </w:t>
      </w:r>
      <w:r w:rsidRPr="00AF3383">
        <w:rPr>
          <w:i/>
        </w:rPr>
        <w:t>PDSA Cycle</w:t>
      </w:r>
      <w:r w:rsidR="00AF3383">
        <w:rPr>
          <w:i/>
        </w:rPr>
        <w:t xml:space="preserve"> (Plan-Do-Study-Act)</w:t>
      </w:r>
      <w:r>
        <w:t xml:space="preserve"> </w:t>
      </w:r>
      <w:hyperlink r:id="rId56" w:tooltip="Deming Institute" w:history="1">
        <w:r w:rsidRPr="00C554D0">
          <w:rPr>
            <w:rStyle w:val="Hyperlink"/>
            <w:rFonts w:eastAsiaTheme="majorEastAsia"/>
          </w:rPr>
          <w:t>https://deming.org/explore/p-d-s-a</w:t>
        </w:r>
      </w:hyperlink>
      <w:r>
        <w:t xml:space="preserve"> </w:t>
      </w:r>
    </w:p>
    <w:p w14:paraId="60580839" w14:textId="3C8223C2" w:rsidR="000664BA" w:rsidRDefault="000664BA" w:rsidP="00511C18">
      <w:pPr>
        <w:spacing w:before="240" w:after="240"/>
      </w:pPr>
      <w:proofErr w:type="spellStart"/>
      <w:r>
        <w:t>Theokas</w:t>
      </w:r>
      <w:proofErr w:type="spellEnd"/>
      <w:r>
        <w:t>, C</w:t>
      </w:r>
      <w:r w:rsidR="002A4DD8">
        <w:t>., M.</w:t>
      </w:r>
      <w:r>
        <w:t xml:space="preserve"> L.</w:t>
      </w:r>
      <w:r w:rsidR="002A4DD8">
        <w:t xml:space="preserve"> Gonzalez, C.</w:t>
      </w:r>
      <w:r w:rsidR="00AF3383">
        <w:t xml:space="preserve"> Manriquez, and J</w:t>
      </w:r>
      <w:r w:rsidR="002A4DD8">
        <w:t>.</w:t>
      </w:r>
      <w:r w:rsidR="00AF3383">
        <w:t xml:space="preserve"> F. Johnson, </w:t>
      </w:r>
      <w:r>
        <w:t xml:space="preserve">Jr. 2018. </w:t>
      </w:r>
      <w:r w:rsidRPr="00B6450D">
        <w:rPr>
          <w:i/>
        </w:rPr>
        <w:t>Five Practices for Improving the Success of Latino Students</w:t>
      </w:r>
      <w:r>
        <w:t>. NY: Routledge</w:t>
      </w:r>
    </w:p>
    <w:p w14:paraId="3160795B" w14:textId="53FB12CB" w:rsidR="00257CF0" w:rsidRDefault="00257CF0" w:rsidP="00511C18">
      <w:pPr>
        <w:spacing w:before="240" w:after="240"/>
      </w:pPr>
      <w:r>
        <w:t xml:space="preserve">Von </w:t>
      </w:r>
      <w:proofErr w:type="spellStart"/>
      <w:r w:rsidR="00AF3383">
        <w:t>Stumm</w:t>
      </w:r>
      <w:proofErr w:type="spellEnd"/>
      <w:r w:rsidR="00AF3383">
        <w:t>, S.</w:t>
      </w:r>
      <w:r>
        <w:t xml:space="preserve"> 2017. Socioeconomic Status Amplifies the Achievement Gap Throughout Compulsory Education Independent of Intelligence. </w:t>
      </w:r>
      <w:r w:rsidRPr="00D6535D">
        <w:rPr>
          <w:i/>
        </w:rPr>
        <w:t>Intelligence</w:t>
      </w:r>
      <w:r>
        <w:t xml:space="preserve">, Vol 60, pp 57–62. </w:t>
      </w:r>
      <w:r w:rsidRPr="003033F7">
        <w:t>doi.org/10.1016/j.intell.2016.11.006</w:t>
      </w:r>
      <w:r>
        <w:t xml:space="preserve"> </w:t>
      </w:r>
    </w:p>
    <w:p w14:paraId="2C406666" w14:textId="3A66F26C" w:rsidR="000664BA" w:rsidRDefault="000664BA" w:rsidP="00511C18">
      <w:pPr>
        <w:spacing w:before="240" w:after="240"/>
      </w:pPr>
      <w:r>
        <w:t>Webb, M</w:t>
      </w:r>
      <w:r w:rsidR="002A4DD8">
        <w:t>.</w:t>
      </w:r>
      <w:r>
        <w:t xml:space="preserve"> </w:t>
      </w:r>
      <w:r w:rsidR="00AF3383">
        <w:t>and</w:t>
      </w:r>
      <w:r>
        <w:t xml:space="preserve"> R</w:t>
      </w:r>
      <w:r w:rsidR="002A4DD8">
        <w:t xml:space="preserve">. </w:t>
      </w:r>
      <w:r>
        <w:t xml:space="preserve">Thomas. 2015. Teacher’s Perceptions of Educators’ and Students’ Role in Closing the Achievement Gap. </w:t>
      </w:r>
      <w:r w:rsidRPr="00AC3202">
        <w:rPr>
          <w:i/>
        </w:rPr>
        <w:t>National Forum of Teacher Education Journal</w:t>
      </w:r>
      <w:r>
        <w:t>, 25(3).</w:t>
      </w:r>
    </w:p>
    <w:p w14:paraId="3307930A" w14:textId="5A2A1FC9" w:rsidR="00AF3383" w:rsidRPr="007D518E" w:rsidRDefault="00AF3383" w:rsidP="00511C18">
      <w:pPr>
        <w:spacing w:before="240" w:after="240"/>
      </w:pPr>
      <w:proofErr w:type="spellStart"/>
      <w:r>
        <w:t>Zajda</w:t>
      </w:r>
      <w:proofErr w:type="spellEnd"/>
      <w:r>
        <w:t>, J</w:t>
      </w:r>
      <w:r w:rsidR="002A4DD8">
        <w:t>.</w:t>
      </w:r>
      <w:r>
        <w:t>, S</w:t>
      </w:r>
      <w:r w:rsidR="002A4DD8">
        <w:t>.</w:t>
      </w:r>
      <w:r w:rsidR="005D65B0">
        <w:t xml:space="preserve"> </w:t>
      </w:r>
      <w:proofErr w:type="spellStart"/>
      <w:r w:rsidR="005D65B0">
        <w:t>Majhanovich</w:t>
      </w:r>
      <w:proofErr w:type="spellEnd"/>
      <w:r w:rsidR="005D65B0">
        <w:t>, and</w:t>
      </w:r>
      <w:r w:rsidR="000664BA">
        <w:t xml:space="preserve"> V</w:t>
      </w:r>
      <w:r w:rsidR="002A4DD8">
        <w:t>.</w:t>
      </w:r>
      <w:r w:rsidR="000664BA">
        <w:t xml:space="preserve"> Rust. 2006. </w:t>
      </w:r>
      <w:r w:rsidR="000664BA" w:rsidRPr="005D65B0">
        <w:rPr>
          <w:i/>
        </w:rPr>
        <w:t>Introduction: Education and Social Justice</w:t>
      </w:r>
      <w:r w:rsidR="000664BA">
        <w:t xml:space="preserve">. </w:t>
      </w:r>
      <w:r w:rsidR="000664BA" w:rsidRPr="005D65B0">
        <w:t>International Review of Education</w:t>
      </w:r>
      <w:r w:rsidR="000664BA" w:rsidRPr="001766ED">
        <w:rPr>
          <w:i/>
        </w:rPr>
        <w:t xml:space="preserve"> 52</w:t>
      </w:r>
      <w:r w:rsidR="000664BA">
        <w:t xml:space="preserve">(1–2), pp 9–22. </w:t>
      </w:r>
      <w:proofErr w:type="spellStart"/>
      <w:r w:rsidR="000664BA">
        <w:t>doi</w:t>
      </w:r>
      <w:proofErr w:type="spellEnd"/>
      <w:r w:rsidR="000664BA">
        <w:t>:</w:t>
      </w:r>
      <w:r w:rsidR="000664BA" w:rsidRPr="00383890">
        <w:t xml:space="preserve"> 10.1007/</w:t>
      </w:r>
      <w:proofErr w:type="spellStart"/>
      <w:r w:rsidR="000664BA" w:rsidRPr="00383890">
        <w:t>sl</w:t>
      </w:r>
      <w:proofErr w:type="spellEnd"/>
      <w:r w:rsidR="000664BA" w:rsidRPr="00383890">
        <w:t xml:space="preserve"> 1159-005-5614-2</w:t>
      </w:r>
    </w:p>
    <w:sectPr w:rsidR="00AF3383" w:rsidRPr="007D518E" w:rsidSect="00326100">
      <w:headerReference w:type="default" r:id="rId5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2173A" w14:textId="77777777" w:rsidR="009554AF" w:rsidRDefault="009554AF">
      <w:r>
        <w:separator/>
      </w:r>
    </w:p>
    <w:p w14:paraId="4431E742" w14:textId="77777777" w:rsidR="009554AF" w:rsidRDefault="009554AF"/>
  </w:endnote>
  <w:endnote w:type="continuationSeparator" w:id="0">
    <w:p w14:paraId="0E8987DA" w14:textId="77777777" w:rsidR="009554AF" w:rsidRDefault="009554AF">
      <w:r>
        <w:continuationSeparator/>
      </w:r>
    </w:p>
    <w:p w14:paraId="4D2D64CD" w14:textId="77777777" w:rsidR="009554AF" w:rsidRDefault="00955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3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AE79" w14:textId="77777777" w:rsidR="00F80FBD" w:rsidRDefault="00F80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843492"/>
      <w:docPartObj>
        <w:docPartGallery w:val="Page Numbers (Bottom of Page)"/>
        <w:docPartUnique/>
      </w:docPartObj>
    </w:sdtPr>
    <w:sdtEndPr>
      <w:rPr>
        <w:noProof/>
      </w:rPr>
    </w:sdtEndPr>
    <w:sdtContent>
      <w:p w14:paraId="5B5911BC" w14:textId="11831B68" w:rsidR="00601AE2" w:rsidRPr="003F7DDA" w:rsidRDefault="00601AE2" w:rsidP="00D31172">
        <w:pPr>
          <w:pStyle w:val="Footer"/>
          <w:jc w:val="center"/>
        </w:pPr>
        <w:r>
          <w:fldChar w:fldCharType="begin"/>
        </w:r>
        <w:r>
          <w:instrText xml:space="preserve"> PAGE   \* MERGEFORMAT </w:instrText>
        </w:r>
        <w:r>
          <w:fldChar w:fldCharType="separate"/>
        </w:r>
        <w:r w:rsidR="00DA7A17">
          <w:rPr>
            <w:noProof/>
          </w:rPr>
          <w:t>20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710D" w14:textId="07FBAE8C" w:rsidR="00601AE2" w:rsidRPr="003F7DDA" w:rsidRDefault="00601AE2" w:rsidP="00577D0D">
    <w:pPr>
      <w:pStyle w:val="Footer"/>
      <w:tabs>
        <w:tab w:val="center" w:pos="4680"/>
        <w:tab w:val="left" w:pos="52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76C85" w14:textId="77777777" w:rsidR="009554AF" w:rsidRDefault="009554AF">
      <w:r>
        <w:separator/>
      </w:r>
    </w:p>
    <w:p w14:paraId="0C0ACC43" w14:textId="77777777" w:rsidR="009554AF" w:rsidRDefault="009554AF"/>
  </w:footnote>
  <w:footnote w:type="continuationSeparator" w:id="0">
    <w:p w14:paraId="7533DCD6" w14:textId="77777777" w:rsidR="009554AF" w:rsidRDefault="009554AF">
      <w:r>
        <w:continuationSeparator/>
      </w:r>
    </w:p>
    <w:p w14:paraId="61ABF570" w14:textId="77777777" w:rsidR="009554AF" w:rsidRDefault="009554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3857" w14:textId="77777777" w:rsidR="00F80FBD" w:rsidRDefault="00F80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34470" w14:textId="77777777" w:rsidR="00F80FBD" w:rsidRDefault="00F80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86B6" w14:textId="77777777" w:rsidR="00F80FBD" w:rsidRDefault="00F80F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0439" w14:textId="77777777" w:rsidR="00601AE2" w:rsidRPr="00C87F94" w:rsidRDefault="00601AE2" w:rsidP="00EE2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AEE5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6421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F0DE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2D83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B323A8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6CA9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5EED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4878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A1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C6EB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D2206C"/>
    <w:multiLevelType w:val="hybridMultilevel"/>
    <w:tmpl w:val="FB38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610E3"/>
    <w:multiLevelType w:val="hybridMultilevel"/>
    <w:tmpl w:val="B94642AE"/>
    <w:lvl w:ilvl="0" w:tplc="DFE87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332C8A"/>
    <w:multiLevelType w:val="hybridMultilevel"/>
    <w:tmpl w:val="8A0A3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530273"/>
    <w:multiLevelType w:val="hybridMultilevel"/>
    <w:tmpl w:val="03FC3006"/>
    <w:lvl w:ilvl="0" w:tplc="ADC60C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E297C"/>
    <w:multiLevelType w:val="hybridMultilevel"/>
    <w:tmpl w:val="75A0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D5978"/>
    <w:multiLevelType w:val="hybridMultilevel"/>
    <w:tmpl w:val="428C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C2004"/>
    <w:multiLevelType w:val="hybridMultilevel"/>
    <w:tmpl w:val="71F40E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B4A12"/>
    <w:multiLevelType w:val="hybridMultilevel"/>
    <w:tmpl w:val="C3ECD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BD62E1"/>
    <w:multiLevelType w:val="hybridMultilevel"/>
    <w:tmpl w:val="4DA8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1870A5"/>
    <w:multiLevelType w:val="hybridMultilevel"/>
    <w:tmpl w:val="183E8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AFF3C9D"/>
    <w:multiLevelType w:val="hybridMultilevel"/>
    <w:tmpl w:val="49F6B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81924"/>
    <w:multiLevelType w:val="hybridMultilevel"/>
    <w:tmpl w:val="E6B8BF4A"/>
    <w:lvl w:ilvl="0" w:tplc="EF120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814CA2"/>
    <w:multiLevelType w:val="hybridMultilevel"/>
    <w:tmpl w:val="465C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45ECA"/>
    <w:multiLevelType w:val="hybridMultilevel"/>
    <w:tmpl w:val="2DA22C9C"/>
    <w:lvl w:ilvl="0" w:tplc="5B6228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7A36F6"/>
    <w:multiLevelType w:val="hybridMultilevel"/>
    <w:tmpl w:val="6F160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88542A"/>
    <w:multiLevelType w:val="hybridMultilevel"/>
    <w:tmpl w:val="A98C008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50F75"/>
    <w:multiLevelType w:val="hybridMultilevel"/>
    <w:tmpl w:val="51FC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B4768"/>
    <w:multiLevelType w:val="hybridMultilevel"/>
    <w:tmpl w:val="3522C7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94D61D0"/>
    <w:multiLevelType w:val="hybridMultilevel"/>
    <w:tmpl w:val="A6942976"/>
    <w:lvl w:ilvl="0" w:tplc="41FE0A48">
      <w:start w:val="2019"/>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02652"/>
    <w:multiLevelType w:val="hybridMultilevel"/>
    <w:tmpl w:val="A5D8FA44"/>
    <w:lvl w:ilvl="0" w:tplc="5B622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B5313"/>
    <w:multiLevelType w:val="hybridMultilevel"/>
    <w:tmpl w:val="2FD21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95F8C"/>
    <w:multiLevelType w:val="hybridMultilevel"/>
    <w:tmpl w:val="D4CC2F22"/>
    <w:lvl w:ilvl="0" w:tplc="1F1E36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4E4635"/>
    <w:multiLevelType w:val="hybridMultilevel"/>
    <w:tmpl w:val="2D5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4276B"/>
    <w:multiLevelType w:val="hybridMultilevel"/>
    <w:tmpl w:val="BACA67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4D69E0"/>
    <w:multiLevelType w:val="hybridMultilevel"/>
    <w:tmpl w:val="0E04EEFE"/>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084FA3"/>
    <w:multiLevelType w:val="hybridMultilevel"/>
    <w:tmpl w:val="17A0CF1E"/>
    <w:lvl w:ilvl="0" w:tplc="F1EA27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480699"/>
    <w:multiLevelType w:val="hybridMultilevel"/>
    <w:tmpl w:val="A2BE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1574CF"/>
    <w:multiLevelType w:val="hybridMultilevel"/>
    <w:tmpl w:val="E9DAFA16"/>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71C3F"/>
    <w:multiLevelType w:val="hybridMultilevel"/>
    <w:tmpl w:val="A5A4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45438"/>
    <w:multiLevelType w:val="hybridMultilevel"/>
    <w:tmpl w:val="183E8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377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DE369B"/>
    <w:multiLevelType w:val="hybridMultilevel"/>
    <w:tmpl w:val="17C8B6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5A1E2B"/>
    <w:multiLevelType w:val="hybridMultilevel"/>
    <w:tmpl w:val="02224A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64D73"/>
    <w:multiLevelType w:val="hybridMultilevel"/>
    <w:tmpl w:val="21EA7C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720EC8"/>
    <w:multiLevelType w:val="hybridMultilevel"/>
    <w:tmpl w:val="69648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AC0E25"/>
    <w:multiLevelType w:val="hybridMultilevel"/>
    <w:tmpl w:val="CD64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9"/>
  </w:num>
  <w:num w:numId="13">
    <w:abstractNumId w:val="16"/>
  </w:num>
  <w:num w:numId="14">
    <w:abstractNumId w:val="18"/>
  </w:num>
  <w:num w:numId="15">
    <w:abstractNumId w:val="30"/>
  </w:num>
  <w:num w:numId="16">
    <w:abstractNumId w:val="32"/>
  </w:num>
  <w:num w:numId="17">
    <w:abstractNumId w:val="10"/>
  </w:num>
  <w:num w:numId="18">
    <w:abstractNumId w:val="12"/>
  </w:num>
  <w:num w:numId="19">
    <w:abstractNumId w:val="19"/>
  </w:num>
  <w:num w:numId="20">
    <w:abstractNumId w:val="29"/>
  </w:num>
  <w:num w:numId="21">
    <w:abstractNumId w:val="35"/>
  </w:num>
  <w:num w:numId="22">
    <w:abstractNumId w:val="23"/>
  </w:num>
  <w:num w:numId="23">
    <w:abstractNumId w:val="40"/>
  </w:num>
  <w:num w:numId="24">
    <w:abstractNumId w:val="24"/>
  </w:num>
  <w:num w:numId="25">
    <w:abstractNumId w:val="26"/>
  </w:num>
  <w:num w:numId="26">
    <w:abstractNumId w:val="36"/>
  </w:num>
  <w:num w:numId="27">
    <w:abstractNumId w:val="15"/>
  </w:num>
  <w:num w:numId="28">
    <w:abstractNumId w:val="22"/>
  </w:num>
  <w:num w:numId="29">
    <w:abstractNumId w:val="44"/>
  </w:num>
  <w:num w:numId="30">
    <w:abstractNumId w:val="45"/>
  </w:num>
  <w:num w:numId="31">
    <w:abstractNumId w:val="27"/>
  </w:num>
  <w:num w:numId="32">
    <w:abstractNumId w:val="14"/>
  </w:num>
  <w:num w:numId="33">
    <w:abstractNumId w:val="33"/>
  </w:num>
  <w:num w:numId="34">
    <w:abstractNumId w:val="31"/>
  </w:num>
  <w:num w:numId="35">
    <w:abstractNumId w:val="28"/>
  </w:num>
  <w:num w:numId="36">
    <w:abstractNumId w:val="25"/>
  </w:num>
  <w:num w:numId="37">
    <w:abstractNumId w:val="13"/>
  </w:num>
  <w:num w:numId="38">
    <w:abstractNumId w:val="37"/>
  </w:num>
  <w:num w:numId="39">
    <w:abstractNumId w:val="20"/>
  </w:num>
  <w:num w:numId="40">
    <w:abstractNumId w:val="21"/>
  </w:num>
  <w:num w:numId="41">
    <w:abstractNumId w:val="43"/>
  </w:num>
  <w:num w:numId="42">
    <w:abstractNumId w:val="34"/>
  </w:num>
  <w:num w:numId="43">
    <w:abstractNumId w:val="42"/>
  </w:num>
  <w:num w:numId="44">
    <w:abstractNumId w:val="41"/>
  </w:num>
  <w:num w:numId="45">
    <w:abstractNumId w:val="1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CA0"/>
    <w:rsid w:val="000030E1"/>
    <w:rsid w:val="00004711"/>
    <w:rsid w:val="00007E0B"/>
    <w:rsid w:val="00007ED1"/>
    <w:rsid w:val="000137D9"/>
    <w:rsid w:val="00017C54"/>
    <w:rsid w:val="00027924"/>
    <w:rsid w:val="00041973"/>
    <w:rsid w:val="00047AED"/>
    <w:rsid w:val="00053BAF"/>
    <w:rsid w:val="0005725D"/>
    <w:rsid w:val="000664BA"/>
    <w:rsid w:val="00067933"/>
    <w:rsid w:val="000952B9"/>
    <w:rsid w:val="000A7900"/>
    <w:rsid w:val="000C08A9"/>
    <w:rsid w:val="000C3ABE"/>
    <w:rsid w:val="000E0CA7"/>
    <w:rsid w:val="000E2BB4"/>
    <w:rsid w:val="000F0154"/>
    <w:rsid w:val="000F1A68"/>
    <w:rsid w:val="000F2D2E"/>
    <w:rsid w:val="000F30C9"/>
    <w:rsid w:val="000F573E"/>
    <w:rsid w:val="000F7AF5"/>
    <w:rsid w:val="00106892"/>
    <w:rsid w:val="00106D14"/>
    <w:rsid w:val="00116220"/>
    <w:rsid w:val="00124C37"/>
    <w:rsid w:val="001254B8"/>
    <w:rsid w:val="00151EEA"/>
    <w:rsid w:val="00155E17"/>
    <w:rsid w:val="00161238"/>
    <w:rsid w:val="001708A4"/>
    <w:rsid w:val="001746ED"/>
    <w:rsid w:val="001A0CA5"/>
    <w:rsid w:val="001A5991"/>
    <w:rsid w:val="001A5FC6"/>
    <w:rsid w:val="001B5C16"/>
    <w:rsid w:val="001C034B"/>
    <w:rsid w:val="001C78BD"/>
    <w:rsid w:val="001E6065"/>
    <w:rsid w:val="00211882"/>
    <w:rsid w:val="00213BF4"/>
    <w:rsid w:val="00223F78"/>
    <w:rsid w:val="00251F9F"/>
    <w:rsid w:val="00254AD1"/>
    <w:rsid w:val="00257CF0"/>
    <w:rsid w:val="002938C1"/>
    <w:rsid w:val="002A4508"/>
    <w:rsid w:val="002A4DD8"/>
    <w:rsid w:val="002B5F30"/>
    <w:rsid w:val="002B7B2C"/>
    <w:rsid w:val="002E0F58"/>
    <w:rsid w:val="002E2A26"/>
    <w:rsid w:val="002E3513"/>
    <w:rsid w:val="002E4CB5"/>
    <w:rsid w:val="00300296"/>
    <w:rsid w:val="0030243C"/>
    <w:rsid w:val="003113FE"/>
    <w:rsid w:val="00321C49"/>
    <w:rsid w:val="00326100"/>
    <w:rsid w:val="00345D3E"/>
    <w:rsid w:val="00371F3E"/>
    <w:rsid w:val="00377011"/>
    <w:rsid w:val="003A0069"/>
    <w:rsid w:val="003A4B8C"/>
    <w:rsid w:val="003C213C"/>
    <w:rsid w:val="003D1E29"/>
    <w:rsid w:val="003D49CB"/>
    <w:rsid w:val="003E6582"/>
    <w:rsid w:val="003F7B69"/>
    <w:rsid w:val="00400A04"/>
    <w:rsid w:val="00417DD1"/>
    <w:rsid w:val="00430734"/>
    <w:rsid w:val="00434961"/>
    <w:rsid w:val="004350DF"/>
    <w:rsid w:val="00441A27"/>
    <w:rsid w:val="004531E0"/>
    <w:rsid w:val="004607C9"/>
    <w:rsid w:val="00461646"/>
    <w:rsid w:val="00465AD1"/>
    <w:rsid w:val="00471924"/>
    <w:rsid w:val="00484369"/>
    <w:rsid w:val="00491C50"/>
    <w:rsid w:val="004A3A8F"/>
    <w:rsid w:val="004C3CCE"/>
    <w:rsid w:val="004C4136"/>
    <w:rsid w:val="004C6BF7"/>
    <w:rsid w:val="004C7671"/>
    <w:rsid w:val="004D58E8"/>
    <w:rsid w:val="004D6287"/>
    <w:rsid w:val="004E123A"/>
    <w:rsid w:val="004E7AC1"/>
    <w:rsid w:val="004F4C28"/>
    <w:rsid w:val="00511C18"/>
    <w:rsid w:val="00516830"/>
    <w:rsid w:val="00533A0E"/>
    <w:rsid w:val="005371DD"/>
    <w:rsid w:val="00537FA4"/>
    <w:rsid w:val="005417D4"/>
    <w:rsid w:val="00543A3A"/>
    <w:rsid w:val="005516BA"/>
    <w:rsid w:val="00564FB3"/>
    <w:rsid w:val="005764AD"/>
    <w:rsid w:val="00577D0D"/>
    <w:rsid w:val="005828EC"/>
    <w:rsid w:val="0058398E"/>
    <w:rsid w:val="00594C9A"/>
    <w:rsid w:val="00596943"/>
    <w:rsid w:val="005B30D2"/>
    <w:rsid w:val="005B4E96"/>
    <w:rsid w:val="005C0EAE"/>
    <w:rsid w:val="005C3C86"/>
    <w:rsid w:val="005C5B70"/>
    <w:rsid w:val="005D26DC"/>
    <w:rsid w:val="005D65B0"/>
    <w:rsid w:val="005E1399"/>
    <w:rsid w:val="005E6A8D"/>
    <w:rsid w:val="005F543D"/>
    <w:rsid w:val="006009C8"/>
    <w:rsid w:val="00601AE2"/>
    <w:rsid w:val="00601B4F"/>
    <w:rsid w:val="00626A44"/>
    <w:rsid w:val="006308A4"/>
    <w:rsid w:val="00634E56"/>
    <w:rsid w:val="00642384"/>
    <w:rsid w:val="006930DC"/>
    <w:rsid w:val="006A1D6D"/>
    <w:rsid w:val="006A64E8"/>
    <w:rsid w:val="006B0994"/>
    <w:rsid w:val="006B602C"/>
    <w:rsid w:val="006C7689"/>
    <w:rsid w:val="006D0931"/>
    <w:rsid w:val="006E41D4"/>
    <w:rsid w:val="006F7423"/>
    <w:rsid w:val="007032A4"/>
    <w:rsid w:val="00715D66"/>
    <w:rsid w:val="00722CD2"/>
    <w:rsid w:val="007428B8"/>
    <w:rsid w:val="0078112B"/>
    <w:rsid w:val="007A3E7D"/>
    <w:rsid w:val="007B3263"/>
    <w:rsid w:val="007B403B"/>
    <w:rsid w:val="007C3C12"/>
    <w:rsid w:val="007C7166"/>
    <w:rsid w:val="007D040F"/>
    <w:rsid w:val="007E5BF1"/>
    <w:rsid w:val="007E64ED"/>
    <w:rsid w:val="007F5F3F"/>
    <w:rsid w:val="00801031"/>
    <w:rsid w:val="0081256C"/>
    <w:rsid w:val="008223A2"/>
    <w:rsid w:val="008265F3"/>
    <w:rsid w:val="0085354D"/>
    <w:rsid w:val="00872BDE"/>
    <w:rsid w:val="0087659A"/>
    <w:rsid w:val="008814D1"/>
    <w:rsid w:val="00883E54"/>
    <w:rsid w:val="008863A9"/>
    <w:rsid w:val="00887C46"/>
    <w:rsid w:val="00893AE8"/>
    <w:rsid w:val="008A006E"/>
    <w:rsid w:val="008C0B45"/>
    <w:rsid w:val="008D2289"/>
    <w:rsid w:val="008E4D20"/>
    <w:rsid w:val="008F3091"/>
    <w:rsid w:val="0091410D"/>
    <w:rsid w:val="00931667"/>
    <w:rsid w:val="00954E42"/>
    <w:rsid w:val="009554AF"/>
    <w:rsid w:val="00964E00"/>
    <w:rsid w:val="00964E40"/>
    <w:rsid w:val="00966035"/>
    <w:rsid w:val="00985C28"/>
    <w:rsid w:val="009869C6"/>
    <w:rsid w:val="009A3720"/>
    <w:rsid w:val="009B3E8C"/>
    <w:rsid w:val="009C0202"/>
    <w:rsid w:val="009C213F"/>
    <w:rsid w:val="009C3A80"/>
    <w:rsid w:val="009C53A5"/>
    <w:rsid w:val="009C70F5"/>
    <w:rsid w:val="009C7C6D"/>
    <w:rsid w:val="009D4ADB"/>
    <w:rsid w:val="00A0035B"/>
    <w:rsid w:val="00A52FF3"/>
    <w:rsid w:val="00A82847"/>
    <w:rsid w:val="00A85332"/>
    <w:rsid w:val="00AA6EC5"/>
    <w:rsid w:val="00AC22DE"/>
    <w:rsid w:val="00AE0C8E"/>
    <w:rsid w:val="00AE3F60"/>
    <w:rsid w:val="00AE65E0"/>
    <w:rsid w:val="00AF0211"/>
    <w:rsid w:val="00AF3383"/>
    <w:rsid w:val="00B20554"/>
    <w:rsid w:val="00B26E67"/>
    <w:rsid w:val="00B364C7"/>
    <w:rsid w:val="00B52024"/>
    <w:rsid w:val="00B57CF2"/>
    <w:rsid w:val="00B63C6A"/>
    <w:rsid w:val="00B64EDB"/>
    <w:rsid w:val="00B718F6"/>
    <w:rsid w:val="00B7306E"/>
    <w:rsid w:val="00B83A4B"/>
    <w:rsid w:val="00BA113D"/>
    <w:rsid w:val="00BB1847"/>
    <w:rsid w:val="00BB31A6"/>
    <w:rsid w:val="00BB6925"/>
    <w:rsid w:val="00BC1CA0"/>
    <w:rsid w:val="00BC6D43"/>
    <w:rsid w:val="00BC76C9"/>
    <w:rsid w:val="00BD7C5F"/>
    <w:rsid w:val="00BD7E85"/>
    <w:rsid w:val="00C07F68"/>
    <w:rsid w:val="00C14D21"/>
    <w:rsid w:val="00C14ED4"/>
    <w:rsid w:val="00C17935"/>
    <w:rsid w:val="00C21731"/>
    <w:rsid w:val="00C25A0A"/>
    <w:rsid w:val="00C2685B"/>
    <w:rsid w:val="00C32195"/>
    <w:rsid w:val="00C321B7"/>
    <w:rsid w:val="00C45B7E"/>
    <w:rsid w:val="00C711C2"/>
    <w:rsid w:val="00C71432"/>
    <w:rsid w:val="00C74158"/>
    <w:rsid w:val="00C755DC"/>
    <w:rsid w:val="00C82975"/>
    <w:rsid w:val="00C9101C"/>
    <w:rsid w:val="00C96771"/>
    <w:rsid w:val="00CA6E47"/>
    <w:rsid w:val="00CB6664"/>
    <w:rsid w:val="00CC56AC"/>
    <w:rsid w:val="00CD13B8"/>
    <w:rsid w:val="00D07282"/>
    <w:rsid w:val="00D0755E"/>
    <w:rsid w:val="00D13BFE"/>
    <w:rsid w:val="00D15074"/>
    <w:rsid w:val="00D23DAF"/>
    <w:rsid w:val="00D243F2"/>
    <w:rsid w:val="00D25278"/>
    <w:rsid w:val="00D310BD"/>
    <w:rsid w:val="00D31172"/>
    <w:rsid w:val="00D41632"/>
    <w:rsid w:val="00D47DAB"/>
    <w:rsid w:val="00D72F11"/>
    <w:rsid w:val="00D85351"/>
    <w:rsid w:val="00DA4711"/>
    <w:rsid w:val="00DA52B3"/>
    <w:rsid w:val="00DA7A17"/>
    <w:rsid w:val="00DB05FA"/>
    <w:rsid w:val="00DC52B0"/>
    <w:rsid w:val="00DC6AE6"/>
    <w:rsid w:val="00DC774C"/>
    <w:rsid w:val="00DD23EF"/>
    <w:rsid w:val="00E35616"/>
    <w:rsid w:val="00E402B7"/>
    <w:rsid w:val="00E44F62"/>
    <w:rsid w:val="00E469D8"/>
    <w:rsid w:val="00E55C0B"/>
    <w:rsid w:val="00E6179A"/>
    <w:rsid w:val="00E634EC"/>
    <w:rsid w:val="00E66FBF"/>
    <w:rsid w:val="00E76AF4"/>
    <w:rsid w:val="00E87625"/>
    <w:rsid w:val="00E90B6F"/>
    <w:rsid w:val="00E90E51"/>
    <w:rsid w:val="00E92AF5"/>
    <w:rsid w:val="00EA58D4"/>
    <w:rsid w:val="00EA5F14"/>
    <w:rsid w:val="00EC152D"/>
    <w:rsid w:val="00EC3161"/>
    <w:rsid w:val="00EC74A6"/>
    <w:rsid w:val="00EE2460"/>
    <w:rsid w:val="00EF3B0F"/>
    <w:rsid w:val="00F059BA"/>
    <w:rsid w:val="00F15BAD"/>
    <w:rsid w:val="00F17057"/>
    <w:rsid w:val="00F376D4"/>
    <w:rsid w:val="00F42924"/>
    <w:rsid w:val="00F80FBD"/>
    <w:rsid w:val="00F82788"/>
    <w:rsid w:val="00F90EB2"/>
    <w:rsid w:val="00F91E0D"/>
    <w:rsid w:val="00FB307E"/>
    <w:rsid w:val="00FC7A0F"/>
    <w:rsid w:val="00FD2067"/>
    <w:rsid w:val="00FD29FA"/>
    <w:rsid w:val="00FD2A4A"/>
    <w:rsid w:val="00FD7138"/>
    <w:rsid w:val="00FE3007"/>
    <w:rsid w:val="00FE4D37"/>
    <w:rsid w:val="00FF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08BCB"/>
  <w15:chartTrackingRefBased/>
  <w15:docId w15:val="{D483826C-04DE-45EA-A3FA-CFF176D2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4BA"/>
    <w:pPr>
      <w:widowControl w:val="0"/>
      <w:spacing w:after="0" w:line="240" w:lineRule="auto"/>
    </w:pPr>
    <w:rPr>
      <w:rFonts w:ascii="Arial" w:eastAsia="Times New Roman" w:hAnsi="Arial" w:cs="Times New Roman"/>
      <w:snapToGrid w:val="0"/>
      <w:sz w:val="24"/>
      <w:szCs w:val="20"/>
    </w:rPr>
  </w:style>
  <w:style w:type="paragraph" w:styleId="Heading1">
    <w:name w:val="heading 1"/>
    <w:basedOn w:val="Normal"/>
    <w:next w:val="Normal"/>
    <w:link w:val="Heading1Char"/>
    <w:uiPriority w:val="9"/>
    <w:qFormat/>
    <w:rsid w:val="00461646"/>
    <w:pPr>
      <w:keepNext/>
      <w:keepLines/>
      <w:spacing w:before="360" w:after="240"/>
      <w:jc w:val="center"/>
      <w:outlineLvl w:val="0"/>
    </w:pPr>
    <w:rPr>
      <w:rFonts w:eastAsiaTheme="majorEastAsia" w:cstheme="majorBidi"/>
      <w:b/>
      <w:szCs w:val="24"/>
    </w:rPr>
  </w:style>
  <w:style w:type="paragraph" w:styleId="Heading2">
    <w:name w:val="heading 2"/>
    <w:basedOn w:val="Normal"/>
    <w:next w:val="Normal"/>
    <w:link w:val="Heading2Char"/>
    <w:unhideWhenUsed/>
    <w:qFormat/>
    <w:rsid w:val="00461646"/>
    <w:pPr>
      <w:keepNext/>
      <w:keepLines/>
      <w:spacing w:before="360" w:after="240"/>
      <w:outlineLvl w:val="1"/>
    </w:pPr>
    <w:rPr>
      <w:rFonts w:eastAsiaTheme="majorEastAsia" w:cstheme="majorBidi"/>
      <w:b/>
      <w:szCs w:val="24"/>
    </w:rPr>
  </w:style>
  <w:style w:type="paragraph" w:styleId="Heading3">
    <w:name w:val="heading 3"/>
    <w:basedOn w:val="Normal"/>
    <w:next w:val="Normal"/>
    <w:link w:val="Heading3Char"/>
    <w:unhideWhenUsed/>
    <w:qFormat/>
    <w:rsid w:val="002A4508"/>
    <w:pPr>
      <w:keepNext/>
      <w:keepLines/>
      <w:spacing w:before="240" w:after="240"/>
      <w:outlineLvl w:val="2"/>
    </w:pPr>
    <w:rPr>
      <w:rFonts w:eastAsiaTheme="majorEastAsia" w:cstheme="majorBidi"/>
      <w:b/>
      <w:szCs w:val="24"/>
    </w:rPr>
  </w:style>
  <w:style w:type="paragraph" w:styleId="Heading4">
    <w:name w:val="heading 4"/>
    <w:basedOn w:val="Normal"/>
    <w:next w:val="Normal"/>
    <w:link w:val="Heading4Char"/>
    <w:unhideWhenUsed/>
    <w:qFormat/>
    <w:rsid w:val="002A4508"/>
    <w:pPr>
      <w:keepNext/>
      <w:keepLines/>
      <w:spacing w:before="240" w:after="240"/>
      <w:outlineLvl w:val="3"/>
    </w:pPr>
    <w:rPr>
      <w:rFonts w:eastAsiaTheme="majorEastAsia" w:cstheme="majorBidi"/>
      <w:b/>
      <w:iCs/>
      <w:szCs w:val="24"/>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646"/>
    <w:rPr>
      <w:rFonts w:ascii="Arial" w:eastAsiaTheme="majorEastAsia" w:hAnsi="Arial" w:cstheme="majorBidi"/>
      <w:b/>
      <w:snapToGrid w:val="0"/>
      <w:sz w:val="24"/>
      <w:szCs w:val="24"/>
    </w:rPr>
  </w:style>
  <w:style w:type="character" w:customStyle="1" w:styleId="Heading2Char">
    <w:name w:val="Heading 2 Char"/>
    <w:basedOn w:val="DefaultParagraphFont"/>
    <w:link w:val="Heading2"/>
    <w:rsid w:val="00461646"/>
    <w:rPr>
      <w:rFonts w:ascii="Arial" w:eastAsiaTheme="majorEastAsia" w:hAnsi="Arial" w:cstheme="majorBidi"/>
      <w:b/>
      <w:snapToGrid w:val="0"/>
      <w:sz w:val="24"/>
      <w:szCs w:val="24"/>
    </w:rPr>
  </w:style>
  <w:style w:type="character" w:customStyle="1" w:styleId="Heading3Char">
    <w:name w:val="Heading 3 Char"/>
    <w:basedOn w:val="DefaultParagraphFont"/>
    <w:link w:val="Heading3"/>
    <w:rsid w:val="002A4508"/>
    <w:rPr>
      <w:rFonts w:ascii="Arial" w:eastAsiaTheme="majorEastAsia" w:hAnsi="Arial" w:cstheme="majorBidi"/>
      <w:b/>
      <w:snapToGrid w:val="0"/>
      <w:sz w:val="24"/>
      <w:szCs w:val="24"/>
    </w:rPr>
  </w:style>
  <w:style w:type="character" w:customStyle="1" w:styleId="Heading4Char">
    <w:name w:val="Heading 4 Char"/>
    <w:basedOn w:val="DefaultParagraphFont"/>
    <w:link w:val="Heading4"/>
    <w:rsid w:val="002A4508"/>
    <w:rPr>
      <w:rFonts w:ascii="Arial" w:eastAsiaTheme="majorEastAsia" w:hAnsi="Arial" w:cstheme="majorBidi"/>
      <w:b/>
      <w:iCs/>
      <w:snapToGrid w:val="0"/>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nhideWhenUsed/>
    <w:rsid w:val="00E90B6F"/>
    <w:rPr>
      <w:rFonts w:ascii="Segoe UI" w:hAnsi="Segoe UI" w:cs="Segoe UI"/>
      <w:sz w:val="18"/>
      <w:szCs w:val="18"/>
    </w:rPr>
  </w:style>
  <w:style w:type="character" w:customStyle="1" w:styleId="BalloonTextChar">
    <w:name w:val="Balloon Text Char"/>
    <w:basedOn w:val="DefaultParagraphFont"/>
    <w:link w:val="BalloonText"/>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Strong">
    <w:name w:val="Strong"/>
    <w:qFormat/>
    <w:rsid w:val="000664BA"/>
    <w:rPr>
      <w:b/>
      <w:bCs/>
    </w:rPr>
  </w:style>
  <w:style w:type="paragraph" w:customStyle="1" w:styleId="Default">
    <w:name w:val="Default"/>
    <w:rsid w:val="000664BA"/>
    <w:pPr>
      <w:autoSpaceDE w:val="0"/>
      <w:autoSpaceDN w:val="0"/>
      <w:adjustRightInd w:val="0"/>
      <w:spacing w:after="0" w:line="240" w:lineRule="auto"/>
    </w:pPr>
    <w:rPr>
      <w:rFonts w:ascii="ArialMT" w:eastAsia="Times New Roman" w:hAnsi="ArialMT" w:cs="Times New Roman"/>
      <w:sz w:val="20"/>
      <w:szCs w:val="20"/>
    </w:rPr>
  </w:style>
  <w:style w:type="paragraph" w:styleId="Header">
    <w:name w:val="header"/>
    <w:basedOn w:val="Normal"/>
    <w:link w:val="HeaderChar"/>
    <w:rsid w:val="000664BA"/>
    <w:pPr>
      <w:tabs>
        <w:tab w:val="center" w:pos="4320"/>
        <w:tab w:val="right" w:pos="8640"/>
      </w:tabs>
    </w:pPr>
  </w:style>
  <w:style w:type="character" w:customStyle="1" w:styleId="HeaderChar">
    <w:name w:val="Header Char"/>
    <w:basedOn w:val="DefaultParagraphFont"/>
    <w:link w:val="Header"/>
    <w:rsid w:val="000664BA"/>
    <w:rPr>
      <w:rFonts w:ascii="Arial" w:eastAsia="Times New Roman" w:hAnsi="Arial" w:cs="Times New Roman"/>
      <w:snapToGrid w:val="0"/>
      <w:sz w:val="24"/>
      <w:szCs w:val="20"/>
    </w:rPr>
  </w:style>
  <w:style w:type="table" w:styleId="TableGrid">
    <w:name w:val="Table Grid"/>
    <w:basedOn w:val="TableNormal"/>
    <w:uiPriority w:val="39"/>
    <w:rsid w:val="000664BA"/>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664BA"/>
    <w:pPr>
      <w:tabs>
        <w:tab w:val="center" w:pos="4320"/>
        <w:tab w:val="right" w:pos="8640"/>
      </w:tabs>
    </w:pPr>
  </w:style>
  <w:style w:type="character" w:customStyle="1" w:styleId="FooterChar">
    <w:name w:val="Footer Char"/>
    <w:basedOn w:val="DefaultParagraphFont"/>
    <w:link w:val="Footer"/>
    <w:uiPriority w:val="99"/>
    <w:rsid w:val="000664BA"/>
    <w:rPr>
      <w:rFonts w:ascii="Arial" w:eastAsia="Times New Roman" w:hAnsi="Arial" w:cs="Times New Roman"/>
      <w:snapToGrid w:val="0"/>
      <w:sz w:val="24"/>
      <w:szCs w:val="20"/>
    </w:rPr>
  </w:style>
  <w:style w:type="character" w:styleId="Emphasis">
    <w:name w:val="Emphasis"/>
    <w:qFormat/>
    <w:rsid w:val="000664BA"/>
    <w:rPr>
      <w:i/>
      <w:iCs/>
    </w:rPr>
  </w:style>
  <w:style w:type="paragraph" w:styleId="PlainText">
    <w:name w:val="Plain Text"/>
    <w:basedOn w:val="Normal"/>
    <w:link w:val="PlainTextChar"/>
    <w:rsid w:val="000664BA"/>
    <w:pPr>
      <w:widowControl/>
    </w:pPr>
    <w:rPr>
      <w:snapToGrid/>
      <w:sz w:val="21"/>
    </w:rPr>
  </w:style>
  <w:style w:type="character" w:customStyle="1" w:styleId="PlainTextChar">
    <w:name w:val="Plain Text Char"/>
    <w:basedOn w:val="DefaultParagraphFont"/>
    <w:link w:val="PlainText"/>
    <w:rsid w:val="000664BA"/>
    <w:rPr>
      <w:rFonts w:ascii="Arial" w:eastAsia="Times New Roman" w:hAnsi="Arial" w:cs="Times New Roman"/>
      <w:sz w:val="21"/>
      <w:szCs w:val="20"/>
    </w:rPr>
  </w:style>
  <w:style w:type="paragraph" w:styleId="ListParagraph">
    <w:name w:val="List Paragraph"/>
    <w:basedOn w:val="Normal"/>
    <w:uiPriority w:val="34"/>
    <w:qFormat/>
    <w:rsid w:val="000664BA"/>
    <w:pPr>
      <w:ind w:left="720"/>
    </w:pPr>
  </w:style>
  <w:style w:type="character" w:styleId="FollowedHyperlink">
    <w:name w:val="FollowedHyperlink"/>
    <w:uiPriority w:val="99"/>
    <w:rsid w:val="000664BA"/>
    <w:rPr>
      <w:color w:val="800080"/>
      <w:u w:val="single"/>
    </w:rPr>
  </w:style>
  <w:style w:type="table" w:customStyle="1" w:styleId="TableGrid1">
    <w:name w:val="Table Grid1"/>
    <w:basedOn w:val="TableNormal"/>
    <w:next w:val="TableGrid"/>
    <w:uiPriority w:val="59"/>
    <w:rsid w:val="000664BA"/>
    <w:pPr>
      <w:spacing w:after="0" w:line="240" w:lineRule="auto"/>
    </w:pPr>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664BA"/>
    <w:rPr>
      <w:sz w:val="20"/>
    </w:rPr>
  </w:style>
  <w:style w:type="character" w:customStyle="1" w:styleId="FootnoteTextChar">
    <w:name w:val="Footnote Text Char"/>
    <w:basedOn w:val="DefaultParagraphFont"/>
    <w:link w:val="FootnoteText"/>
    <w:rsid w:val="000664BA"/>
    <w:rPr>
      <w:rFonts w:ascii="Arial" w:eastAsia="Times New Roman" w:hAnsi="Arial" w:cs="Times New Roman"/>
      <w:snapToGrid w:val="0"/>
      <w:sz w:val="20"/>
      <w:szCs w:val="20"/>
    </w:rPr>
  </w:style>
  <w:style w:type="character" w:styleId="FootnoteReference">
    <w:name w:val="footnote reference"/>
    <w:rsid w:val="000664BA"/>
    <w:rPr>
      <w:vertAlign w:val="superscript"/>
    </w:rPr>
  </w:style>
  <w:style w:type="paragraph" w:styleId="Revision">
    <w:name w:val="Revision"/>
    <w:hidden/>
    <w:uiPriority w:val="99"/>
    <w:semiHidden/>
    <w:rsid w:val="000664BA"/>
    <w:pPr>
      <w:spacing w:after="0" w:line="240" w:lineRule="auto"/>
    </w:pPr>
    <w:rPr>
      <w:rFonts w:ascii="Arial" w:eastAsia="Times New Roman" w:hAnsi="Arial" w:cs="Times New Roman"/>
      <w:snapToGrid w:val="0"/>
      <w:sz w:val="24"/>
      <w:szCs w:val="20"/>
    </w:rPr>
  </w:style>
  <w:style w:type="character" w:styleId="CommentReference">
    <w:name w:val="annotation reference"/>
    <w:rsid w:val="000664BA"/>
    <w:rPr>
      <w:sz w:val="16"/>
      <w:szCs w:val="16"/>
    </w:rPr>
  </w:style>
  <w:style w:type="paragraph" w:styleId="CommentText">
    <w:name w:val="annotation text"/>
    <w:basedOn w:val="Normal"/>
    <w:link w:val="CommentTextChar"/>
    <w:rsid w:val="000664BA"/>
    <w:rPr>
      <w:sz w:val="20"/>
    </w:rPr>
  </w:style>
  <w:style w:type="character" w:customStyle="1" w:styleId="CommentTextChar">
    <w:name w:val="Comment Text Char"/>
    <w:basedOn w:val="DefaultParagraphFont"/>
    <w:link w:val="CommentText"/>
    <w:rsid w:val="000664BA"/>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rsid w:val="000664BA"/>
    <w:rPr>
      <w:b/>
      <w:bCs/>
    </w:rPr>
  </w:style>
  <w:style w:type="character" w:customStyle="1" w:styleId="CommentSubjectChar">
    <w:name w:val="Comment Subject Char"/>
    <w:basedOn w:val="CommentTextChar"/>
    <w:link w:val="CommentSubject"/>
    <w:rsid w:val="000664BA"/>
    <w:rPr>
      <w:rFonts w:ascii="Arial" w:eastAsia="Times New Roman" w:hAnsi="Arial" w:cs="Times New Roman"/>
      <w:b/>
      <w:bCs/>
      <w:snapToGrid w:val="0"/>
      <w:sz w:val="20"/>
      <w:szCs w:val="20"/>
    </w:rPr>
  </w:style>
  <w:style w:type="table" w:customStyle="1" w:styleId="TableGrid2">
    <w:name w:val="Table Grid2"/>
    <w:basedOn w:val="TableNormal"/>
    <w:next w:val="TableGrid"/>
    <w:uiPriority w:val="59"/>
    <w:rsid w:val="000664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64BA"/>
    <w:pPr>
      <w:widowControl/>
    </w:pPr>
    <w:rPr>
      <w:rFonts w:ascii="Times New Roman" w:eastAsia="Calibri" w:hAnsi="Times New Roman"/>
      <w:snapToGrid/>
      <w:szCs w:val="24"/>
    </w:rPr>
  </w:style>
  <w:style w:type="table" w:customStyle="1" w:styleId="TableGrid3">
    <w:name w:val="Table Grid3"/>
    <w:basedOn w:val="TableNormal"/>
    <w:next w:val="TableGrid"/>
    <w:uiPriority w:val="39"/>
    <w:rsid w:val="000664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64BA"/>
    <w:pPr>
      <w:ind w:left="220"/>
    </w:pPr>
    <w:rPr>
      <w:rFonts w:eastAsia="Arial"/>
      <w:snapToGrid/>
      <w:szCs w:val="24"/>
    </w:rPr>
  </w:style>
  <w:style w:type="character" w:customStyle="1" w:styleId="BodyTextChar">
    <w:name w:val="Body Text Char"/>
    <w:basedOn w:val="DefaultParagraphFont"/>
    <w:link w:val="BodyText"/>
    <w:uiPriority w:val="1"/>
    <w:rsid w:val="000664BA"/>
    <w:rPr>
      <w:rFonts w:ascii="Arial" w:eastAsia="Arial" w:hAnsi="Arial" w:cs="Times New Roman"/>
      <w:sz w:val="24"/>
      <w:szCs w:val="24"/>
    </w:rPr>
  </w:style>
  <w:style w:type="paragraph" w:customStyle="1" w:styleId="TableParagraph">
    <w:name w:val="Table Paragraph"/>
    <w:basedOn w:val="Normal"/>
    <w:uiPriority w:val="1"/>
    <w:qFormat/>
    <w:rsid w:val="000664BA"/>
    <w:rPr>
      <w:rFonts w:ascii="Calibri" w:eastAsia="Calibri" w:hAnsi="Calibri"/>
      <w:snapToGrid/>
      <w:sz w:val="22"/>
      <w:szCs w:val="22"/>
    </w:rPr>
  </w:style>
  <w:style w:type="paragraph" w:styleId="TOCHeading">
    <w:name w:val="TOC Heading"/>
    <w:basedOn w:val="Heading1"/>
    <w:next w:val="Normal"/>
    <w:uiPriority w:val="39"/>
    <w:unhideWhenUsed/>
    <w:qFormat/>
    <w:rsid w:val="000664BA"/>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0664BA"/>
    <w:pPr>
      <w:spacing w:after="100"/>
    </w:pPr>
  </w:style>
  <w:style w:type="paragraph" w:styleId="TOC2">
    <w:name w:val="toc 2"/>
    <w:basedOn w:val="Normal"/>
    <w:next w:val="Normal"/>
    <w:autoRedefine/>
    <w:uiPriority w:val="39"/>
    <w:unhideWhenUsed/>
    <w:rsid w:val="000664BA"/>
    <w:pPr>
      <w:spacing w:after="100"/>
      <w:ind w:left="240"/>
    </w:pPr>
  </w:style>
  <w:style w:type="paragraph" w:styleId="TOC3">
    <w:name w:val="toc 3"/>
    <w:basedOn w:val="Normal"/>
    <w:next w:val="Normal"/>
    <w:autoRedefine/>
    <w:uiPriority w:val="39"/>
    <w:unhideWhenUsed/>
    <w:rsid w:val="00FC7A0F"/>
    <w:pPr>
      <w:widowControl/>
      <w:tabs>
        <w:tab w:val="right" w:leader="dot" w:pos="9350"/>
      </w:tabs>
      <w:spacing w:after="100" w:line="259" w:lineRule="auto"/>
      <w:ind w:left="440"/>
    </w:pPr>
    <w:rPr>
      <w:rFonts w:eastAsiaTheme="minorEastAsia" w:cs="Arial"/>
      <w:noProof/>
      <w:snapToGrid/>
      <w:szCs w:val="24"/>
    </w:rPr>
  </w:style>
  <w:style w:type="table" w:customStyle="1" w:styleId="GridTable1Light11">
    <w:name w:val="Grid Table 1 Light11"/>
    <w:basedOn w:val="TableNormal"/>
    <w:uiPriority w:val="46"/>
    <w:rsid w:val="000664BA"/>
    <w:pPr>
      <w:spacing w:after="0" w:line="240" w:lineRule="auto"/>
    </w:pPr>
    <w:rPr>
      <w:rFonts w:ascii="Calibri" w:eastAsia="Calibri" w:hAnsi="Calibri"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nknotation">
    <w:name w:val="linknotation"/>
    <w:basedOn w:val="DefaultParagraphFont"/>
    <w:rsid w:val="000664BA"/>
  </w:style>
  <w:style w:type="table" w:styleId="GridTable4">
    <w:name w:val="Grid Table 4"/>
    <w:basedOn w:val="TableNormal"/>
    <w:uiPriority w:val="49"/>
    <w:rsid w:val="000664B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0664BA"/>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0664BA"/>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0664B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626A44"/>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nresolvedMention1">
    <w:name w:val="Unresolved Mention1"/>
    <w:basedOn w:val="DefaultParagraphFont"/>
    <w:uiPriority w:val="99"/>
    <w:semiHidden/>
    <w:unhideWhenUsed/>
    <w:rsid w:val="00F376D4"/>
    <w:rPr>
      <w:color w:val="605E5C"/>
      <w:shd w:val="clear" w:color="auto" w:fill="E1DFDD"/>
    </w:rPr>
  </w:style>
  <w:style w:type="character" w:styleId="UnresolvedMention">
    <w:name w:val="Unresolved Mention"/>
    <w:basedOn w:val="DefaultParagraphFont"/>
    <w:uiPriority w:val="99"/>
    <w:semiHidden/>
    <w:unhideWhenUsed/>
    <w:rsid w:val="00F80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51">
      <w:bodyDiv w:val="1"/>
      <w:marLeft w:val="0"/>
      <w:marRight w:val="0"/>
      <w:marTop w:val="0"/>
      <w:marBottom w:val="0"/>
      <w:divBdr>
        <w:top w:val="none" w:sz="0" w:space="0" w:color="auto"/>
        <w:left w:val="none" w:sz="0" w:space="0" w:color="auto"/>
        <w:bottom w:val="none" w:sz="0" w:space="0" w:color="auto"/>
        <w:right w:val="none" w:sz="0" w:space="0" w:color="auto"/>
      </w:divBdr>
    </w:div>
    <w:div w:id="903565853">
      <w:bodyDiv w:val="1"/>
      <w:marLeft w:val="0"/>
      <w:marRight w:val="0"/>
      <w:marTop w:val="0"/>
      <w:marBottom w:val="0"/>
      <w:divBdr>
        <w:top w:val="none" w:sz="0" w:space="0" w:color="auto"/>
        <w:left w:val="none" w:sz="0" w:space="0" w:color="auto"/>
        <w:bottom w:val="none" w:sz="0" w:space="0" w:color="auto"/>
        <w:right w:val="none" w:sz="0" w:space="0" w:color="auto"/>
      </w:divBdr>
    </w:div>
    <w:div w:id="1487281519">
      <w:bodyDiv w:val="1"/>
      <w:marLeft w:val="0"/>
      <w:marRight w:val="0"/>
      <w:marTop w:val="0"/>
      <w:marBottom w:val="0"/>
      <w:divBdr>
        <w:top w:val="none" w:sz="0" w:space="0" w:color="auto"/>
        <w:left w:val="none" w:sz="0" w:space="0" w:color="auto"/>
        <w:bottom w:val="none" w:sz="0" w:space="0" w:color="auto"/>
        <w:right w:val="none" w:sz="0" w:space="0" w:color="auto"/>
      </w:divBdr>
    </w:div>
    <w:div w:id="209913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stream1.sdcoe.net/wc/ev1/" TargetMode="External"/><Relationship Id="rId26" Type="http://schemas.openxmlformats.org/officeDocument/2006/relationships/hyperlink" Target="https://sccoe.instructure.com/courses/611" TargetMode="External"/><Relationship Id="rId39" Type="http://schemas.openxmlformats.org/officeDocument/2006/relationships/hyperlink" Target="mailto:Sumeyers@cde.ca.gov" TargetMode="External"/><Relationship Id="rId21" Type="http://schemas.openxmlformats.org/officeDocument/2006/relationships/hyperlink" Target="https://stream1.sdcoe.net/wc/ev4/" TargetMode="External"/><Relationship Id="rId34" Type="http://schemas.openxmlformats.org/officeDocument/2006/relationships/hyperlink" Target="mailto:Jaguanana.Lathan@sdcoe.net" TargetMode="External"/><Relationship Id="rId42" Type="http://schemas.openxmlformats.org/officeDocument/2006/relationships/hyperlink" Target="https://www.cde.ca.gov/re/pr/star.asp" TargetMode="External"/><Relationship Id="rId47" Type="http://schemas.openxmlformats.org/officeDocument/2006/relationships/hyperlink" Target="https://www.caschooldashboard.org/" TargetMode="External"/><Relationship Id="rId50" Type="http://schemas.openxmlformats.org/officeDocument/2006/relationships/hyperlink" Target="https://west.edtrust.org/resource/black-minds-matter-supporting-the-educational-success-of-black-children-in-california/" TargetMode="External"/><Relationship Id="rId55" Type="http://schemas.openxmlformats.org/officeDocument/2006/relationships/hyperlink" Target="https://www.sdcoe.net/lls/equity/Pages/Equity-Grant.asp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ncust.com/educational-equity-excellence-audit/" TargetMode="External"/><Relationship Id="rId25" Type="http://schemas.openxmlformats.org/officeDocument/2006/relationships/hyperlink" Target="http://bit.ly/2msyK28" TargetMode="External"/><Relationship Id="rId33" Type="http://schemas.openxmlformats.org/officeDocument/2006/relationships/hyperlink" Target="https://2018inclusioncollaborativestatec.sched.com/" TargetMode="External"/><Relationship Id="rId38" Type="http://schemas.openxmlformats.org/officeDocument/2006/relationships/hyperlink" Target="mailto:Jliang@cde.ca.gov" TargetMode="External"/><Relationship Id="rId46" Type="http://schemas.openxmlformats.org/officeDocument/2006/relationships/hyperlink" Target="https://www.cde.ca.gov/eo/in/documents/spipriorityinitiatives.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ca.gov/sp/sw/t1/equity.asp" TargetMode="External"/><Relationship Id="rId20" Type="http://schemas.openxmlformats.org/officeDocument/2006/relationships/hyperlink" Target="https://stream1.sdcoe.net/wc/ev3/" TargetMode="External"/><Relationship Id="rId29" Type="http://schemas.openxmlformats.org/officeDocument/2006/relationships/hyperlink" Target="https://sccoe.instructure.com/courses/668" TargetMode="External"/><Relationship Id="rId41" Type="http://schemas.openxmlformats.org/officeDocument/2006/relationships/hyperlink" Target="https://nces.ed.gov/nationsreportcard/pubs/studies/2015018.aspx" TargetMode="External"/><Relationship Id="rId54" Type="http://schemas.openxmlformats.org/officeDocument/2006/relationships/hyperlink" Target="https://link.springer.com/article/10.1007/s12552-014-913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youtube.com/watch?v=amfZ4nZNSfE" TargetMode="External"/><Relationship Id="rId32" Type="http://schemas.openxmlformats.org/officeDocument/2006/relationships/image" Target="media/image3.png"/><Relationship Id="rId37" Type="http://schemas.openxmlformats.org/officeDocument/2006/relationships/hyperlink" Target="http://www.inclusioncollaborative.org/cepip.aspx" TargetMode="External"/><Relationship Id="rId40" Type="http://schemas.openxmlformats.org/officeDocument/2006/relationships/hyperlink" Target="https://www.cde.ca.gov/sp/sw/t1/equity.asp" TargetMode="External"/><Relationship Id="rId45" Type="http://schemas.openxmlformats.org/officeDocument/2006/relationships/hyperlink" Target="https://www.cde.ca.gov/sp/sw/t1/equity.asp" TargetMode="External"/><Relationship Id="rId53" Type="http://schemas.openxmlformats.org/officeDocument/2006/relationships/hyperlink" Target="https://civilrightsproject.ucla.edu/research/k-12-education/integration-and-diversity/brown-at-60-great-progress-a-long-retreat-and-an-uncertain-future/Brown-at-60-051814.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liang@cde.ca.gov" TargetMode="External"/><Relationship Id="rId23" Type="http://schemas.openxmlformats.org/officeDocument/2006/relationships/hyperlink" Target="http://bit.ly/2lYAlfY" TargetMode="External"/><Relationship Id="rId28" Type="http://schemas.openxmlformats.org/officeDocument/2006/relationships/hyperlink" Target="https://www.learningdesigned.org/content/udl-associate-credential-0" TargetMode="External"/><Relationship Id="rId36" Type="http://schemas.openxmlformats.org/officeDocument/2006/relationships/hyperlink" Target="mailto:Kathy_Wahl@sccoe.org" TargetMode="External"/><Relationship Id="rId49" Type="http://schemas.openxmlformats.org/officeDocument/2006/relationships/hyperlink" Target="https://www.cde.ca.gov/be/ag/ag/main201903.asp" TargetMode="External"/><Relationship Id="rId57"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stream1.sdcoe.net/wc/ev2/" TargetMode="External"/><Relationship Id="rId31" Type="http://schemas.openxmlformats.org/officeDocument/2006/relationships/image" Target="media/image2.png"/><Relationship Id="rId44" Type="http://schemas.openxmlformats.org/officeDocument/2006/relationships/hyperlink" Target="https://www.cde.ca.gov/be/ag/ag/yr18/agenda201811.asp" TargetMode="External"/><Relationship Id="rId52" Type="http://schemas.openxmlformats.org/officeDocument/2006/relationships/hyperlink" Target="https://nces.ed.gov/nationsreportcard/studies/gap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youtube.com/watch?v=UwRsuPP9HNE" TargetMode="External"/><Relationship Id="rId27" Type="http://schemas.openxmlformats.org/officeDocument/2006/relationships/hyperlink" Target="https://sccoe.instructure.com/courses/589" TargetMode="External"/><Relationship Id="rId30" Type="http://schemas.openxmlformats.org/officeDocument/2006/relationships/hyperlink" Target="https://2018inclusioncollaborativestatec.sched.com/" TargetMode="External"/><Relationship Id="rId35" Type="http://schemas.openxmlformats.org/officeDocument/2006/relationships/hyperlink" Target="https://www.sdcoe.net/lls/equity/Pages/default.aspx" TargetMode="External"/><Relationship Id="rId43" Type="http://schemas.openxmlformats.org/officeDocument/2006/relationships/hyperlink" Target="https://www.cde.ca.gov/qs/ea/" TargetMode="External"/><Relationship Id="rId48" Type="http://schemas.openxmlformats.org/officeDocument/2006/relationships/hyperlink" Target="https://caaspp-elpac.cde.ca.gov/caaspp/" TargetMode="External"/><Relationship Id="rId56" Type="http://schemas.openxmlformats.org/officeDocument/2006/relationships/hyperlink" Target="https://deming.org/explore/p-d-s-a" TargetMode="External"/><Relationship Id="rId8" Type="http://schemas.openxmlformats.org/officeDocument/2006/relationships/image" Target="media/image1.png"/><Relationship Id="rId51" Type="http://schemas.openxmlformats.org/officeDocument/2006/relationships/hyperlink" Target="https://gettingdowntofacts.com/sites/default/files/2018-09/GDTFII%20Summary%20Report.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9DA4-A5A3-4C54-9ED0-7B596D98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9672</Words>
  <Characters>55809</Characters>
  <Application>Microsoft Office Word</Application>
  <DocSecurity>0</DocSecurity>
  <Lines>2426</Lines>
  <Paragraphs>1678</Paragraphs>
  <ScaleCrop>false</ScaleCrop>
  <HeadingPairs>
    <vt:vector size="2" baseType="variant">
      <vt:variant>
        <vt:lpstr>Title</vt:lpstr>
      </vt:variant>
      <vt:variant>
        <vt:i4>1</vt:i4>
      </vt:variant>
    </vt:vector>
  </HeadingPairs>
  <TitlesOfParts>
    <vt:vector size="1" baseType="lpstr">
      <vt:lpstr>Legislative Report - CEPIP (CA Dept of Education)</vt:lpstr>
    </vt:vector>
  </TitlesOfParts>
  <Manager>MParsons@cde.ca.gov</Manager>
  <Company>CA Department of Education</Company>
  <LinksUpToDate>false</LinksUpToDate>
  <CharactersWithSpaces>63803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CEPIP Legislative Report - Title I, Part A (CA Dept of Education)</dc:title>
  <dc:subject>This report summarizes the California Equity Performance and Improvement Program (CEPIP), details findings of the program, and recommends to the Legislature further equity work to be done.</dc:subject>
  <dc:creator>JLiang@cde.ca.gov</dc:creator>
  <cp:keywords>cepip, equity</cp:keywords>
  <dc:description/>
  <cp:lastModifiedBy>John Cooper</cp:lastModifiedBy>
  <cp:revision>5</cp:revision>
  <cp:lastPrinted>2020-05-15T22:20:00Z</cp:lastPrinted>
  <dcterms:created xsi:type="dcterms:W3CDTF">2020-07-31T18:09:00Z</dcterms:created>
  <dcterms:modified xsi:type="dcterms:W3CDTF">2022-11-29T23:50:00Z</dcterms:modified>
  <cp:category>Legislative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1688151888</vt:i4>
  </property>
</Properties>
</file>