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07E" w14:textId="77777777" w:rsidR="00F8586D" w:rsidRDefault="00F8586D" w:rsidP="00F8586D">
      <w:pPr>
        <w:pStyle w:val="Footer"/>
        <w:jc w:val="right"/>
        <w:rPr>
          <w:rFonts w:ascii="Arial" w:hAnsi="Arial" w:cs="Arial"/>
          <w:sz w:val="24"/>
          <w:szCs w:val="24"/>
        </w:rPr>
      </w:pPr>
      <w:r w:rsidRPr="003C59FF">
        <w:rPr>
          <w:rFonts w:ascii="Arial" w:hAnsi="Arial" w:cs="Arial"/>
          <w:sz w:val="24"/>
          <w:szCs w:val="24"/>
        </w:rPr>
        <w:t>California Department of Education</w:t>
      </w:r>
    </w:p>
    <w:p w14:paraId="0F2BC3DC" w14:textId="77777777" w:rsidR="00F8586D" w:rsidRPr="003C59FF" w:rsidRDefault="00F8586D" w:rsidP="00F8586D">
      <w:pPr>
        <w:pStyle w:val="Foot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2022</w:t>
      </w:r>
    </w:p>
    <w:p w14:paraId="1D05798F" w14:textId="77777777" w:rsidR="00F8586D" w:rsidRPr="007537F1" w:rsidRDefault="00F8586D" w:rsidP="00F8586D">
      <w:pPr>
        <w:pStyle w:val="Heading1"/>
        <w:spacing w:after="480" w:line="240" w:lineRule="auto"/>
        <w:jc w:val="center"/>
      </w:pPr>
      <w:r w:rsidRPr="007537F1">
        <w:rPr>
          <w:rStyle w:val="Heading1Char"/>
          <w:b/>
          <w:bCs/>
        </w:rPr>
        <w:t>School Emergency Response to Violence (Project SERV)</w:t>
      </w:r>
      <w:r w:rsidRPr="007537F1">
        <w:rPr>
          <w:b w:val="0"/>
          <w:bCs/>
        </w:rPr>
        <w:t xml:space="preserve"> </w:t>
      </w:r>
      <w:r w:rsidRPr="007537F1">
        <w:t>Method of Calculating Equitable Services Proportional Share</w:t>
      </w:r>
    </w:p>
    <w:p w14:paraId="761523FC" w14:textId="77777777" w:rsidR="00F8586D" w:rsidRDefault="00F8586D" w:rsidP="00F8586D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period is 03/14/2018 - 03/14/2019</w:t>
      </w:r>
    </w:p>
    <w:p w14:paraId="24126DDD" w14:textId="77777777" w:rsidR="00F8586D" w:rsidRDefault="00F8586D" w:rsidP="00F8586D">
      <w:pPr>
        <w:spacing w:before="240" w:after="24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477420">
        <w:rPr>
          <w:rFonts w:ascii="Arial" w:eastAsia="Times New Roman" w:hAnsi="Arial" w:cs="Arial"/>
          <w:color w:val="000000"/>
          <w:sz w:val="24"/>
          <w:szCs w:val="24"/>
        </w:rPr>
        <w:t xml:space="preserve">Hundreds of thousands of students, families, and school communities were impacted by the wildfires in Butte, Lake, Mendocino, Napa, Nevada, Orange, </w:t>
      </w:r>
      <w:proofErr w:type="gramStart"/>
      <w:r w:rsidRPr="00477420">
        <w:rPr>
          <w:rFonts w:ascii="Arial" w:eastAsia="Times New Roman" w:hAnsi="Arial" w:cs="Arial"/>
          <w:color w:val="000000"/>
          <w:sz w:val="24"/>
          <w:szCs w:val="24"/>
        </w:rPr>
        <w:t>Sonoma</w:t>
      </w:r>
      <w:proofErr w:type="gramEnd"/>
      <w:r w:rsidRPr="00477420">
        <w:rPr>
          <w:rFonts w:ascii="Arial" w:eastAsia="Times New Roman" w:hAnsi="Arial" w:cs="Arial"/>
          <w:color w:val="000000"/>
          <w:sz w:val="24"/>
          <w:szCs w:val="24"/>
        </w:rPr>
        <w:t xml:space="preserve"> and Yuba counties in October 2017. On behalf of impacted local educational agencies (LEAs) the California Department of Education (CDE) applied for and received a $2 million grant from the U.S. Department of Education for the School Emergency Response to Violence (Project SERV). Project SERV funding may be used to reimburse LEAs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nonprofit private schools</w:t>
      </w:r>
      <w:r w:rsidRPr="00477420">
        <w:rPr>
          <w:rFonts w:ascii="Arial" w:eastAsia="Times New Roman" w:hAnsi="Arial" w:cs="Arial"/>
          <w:color w:val="000000"/>
          <w:sz w:val="24"/>
          <w:szCs w:val="24"/>
        </w:rPr>
        <w:t xml:space="preserve"> for some of the expenses incurred </w:t>
      </w:r>
      <w:proofErr w:type="gramStart"/>
      <w:r w:rsidRPr="00477420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477420">
        <w:rPr>
          <w:rFonts w:ascii="Arial" w:eastAsia="Times New Roman" w:hAnsi="Arial" w:cs="Arial"/>
          <w:color w:val="000000"/>
          <w:sz w:val="24"/>
          <w:szCs w:val="24"/>
        </w:rPr>
        <w:t xml:space="preserve"> quickly reopen schools, such as hiring substitute teachers and renting vans to transport students from temporary housing to school. </w:t>
      </w:r>
      <w:r>
        <w:rPr>
          <w:rFonts w:ascii="Arial" w:hAnsi="Arial" w:cs="Arial"/>
          <w:color w:val="000000"/>
          <w:sz w:val="24"/>
          <w:szCs w:val="24"/>
          <w:lang w:val="en"/>
        </w:rPr>
        <w:t>LEA and nonprofit private school allocations are based on requested need of allowable expenditures.</w:t>
      </w:r>
    </w:p>
    <w:p w14:paraId="720D7FBD" w14:textId="77777777" w:rsidR="00F8586D" w:rsidRPr="00477420" w:rsidRDefault="00F8586D" w:rsidP="00F8586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7420">
        <w:rPr>
          <w:rFonts w:ascii="Arial" w:eastAsia="Times New Roman" w:hAnsi="Arial" w:cs="Arial"/>
          <w:color w:val="000000"/>
          <w:sz w:val="24"/>
          <w:szCs w:val="24"/>
        </w:rPr>
        <w:t xml:space="preserve">Interested LEAs and private/nonpublic schools submitted applications to the CDE in December 2017. Funding and reimbursement information was distributed to qualified applicants in </w:t>
      </w:r>
      <w:r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Pr="00477420">
        <w:rPr>
          <w:rFonts w:ascii="Arial" w:eastAsia="Times New Roman" w:hAnsi="Arial" w:cs="Arial"/>
          <w:color w:val="000000"/>
          <w:sz w:val="24"/>
          <w:szCs w:val="24"/>
        </w:rPr>
        <w:t xml:space="preserve"> 2018.</w:t>
      </w:r>
    </w:p>
    <w:p w14:paraId="0AEA684E" w14:textId="77777777" w:rsidR="00F8586D" w:rsidRDefault="00F8586D" w:rsidP="00F8586D">
      <w:pPr>
        <w:pStyle w:val="Heading2"/>
        <w:spacing w:before="480" w:after="480" w:line="240" w:lineRule="auto"/>
        <w:rPr>
          <w:lang w:val="en"/>
        </w:rPr>
      </w:pPr>
      <w:r>
        <w:rPr>
          <w:lang w:val="en"/>
        </w:rPr>
        <w:t>Nonprofit Private School Recipients of Project SERV for Fiscal Year 2017-2018</w:t>
      </w:r>
    </w:p>
    <w:tbl>
      <w:tblPr>
        <w:tblStyle w:val="ListTable3-Accent3"/>
        <w:tblW w:w="0" w:type="auto"/>
        <w:tblBorders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  <w:tblDescription w:val="Table showing three nonprofit private schools and the amount of funds the schools received in fiscal year 2017-18."/>
      </w:tblPr>
      <w:tblGrid>
        <w:gridCol w:w="5080"/>
        <w:gridCol w:w="5080"/>
      </w:tblGrid>
      <w:tr w:rsidR="00F8586D" w:rsidRPr="00F8762A" w14:paraId="41954FFF" w14:textId="77777777" w:rsidTr="0006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0" w:type="dxa"/>
            <w:tcBorders>
              <w:bottom w:val="none" w:sz="0" w:space="0" w:color="auto"/>
              <w:right w:val="none" w:sz="0" w:space="0" w:color="auto"/>
            </w:tcBorders>
          </w:tcPr>
          <w:p w14:paraId="5DB02883" w14:textId="77777777" w:rsidR="00F8586D" w:rsidRPr="00F8762A" w:rsidRDefault="00F8586D" w:rsidP="0006366B">
            <w:pPr>
              <w:pStyle w:val="Heading3"/>
              <w:spacing w:before="120" w:after="120"/>
              <w:rPr>
                <w:b/>
                <w:lang w:val="en"/>
              </w:rPr>
            </w:pPr>
            <w:r w:rsidRPr="00F8762A">
              <w:rPr>
                <w:b/>
                <w:lang w:val="en"/>
              </w:rPr>
              <w:t>Nonprofit Private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left w:val="none" w:sz="0" w:space="0" w:color="auto"/>
              <w:right w:val="none" w:sz="0" w:space="0" w:color="auto"/>
            </w:tcBorders>
          </w:tcPr>
          <w:p w14:paraId="4A0F21ED" w14:textId="77777777" w:rsidR="00F8586D" w:rsidRPr="00F8762A" w:rsidRDefault="00F8586D" w:rsidP="0006366B">
            <w:pPr>
              <w:pStyle w:val="Heading3"/>
              <w:spacing w:before="120" w:after="120"/>
              <w:rPr>
                <w:b/>
                <w:lang w:val="en"/>
              </w:rPr>
            </w:pPr>
            <w:r w:rsidRPr="00F8762A">
              <w:rPr>
                <w:b/>
                <w:lang w:val="en"/>
              </w:rPr>
              <w:t>Allocation of Funds</w:t>
            </w:r>
          </w:p>
        </w:tc>
      </w:tr>
      <w:tr w:rsidR="00F8586D" w:rsidRPr="00F8762A" w14:paraId="1F6DC4B0" w14:textId="77777777" w:rsidTr="0006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2ACDBE" w14:textId="77777777" w:rsidR="00F8586D" w:rsidRPr="00F8762A" w:rsidRDefault="00F8586D" w:rsidP="0006366B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  <w:proofErr w:type="spellStart"/>
            <w:r w:rsidRPr="00F8762A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Anova</w:t>
            </w:r>
            <w:proofErr w:type="spellEnd"/>
            <w:r w:rsidRPr="00F8762A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3BF46" w14:textId="77777777" w:rsidR="00F8586D" w:rsidRPr="00F8762A" w:rsidRDefault="00F8586D" w:rsidP="0006366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F8762A">
              <w:rPr>
                <w:rFonts w:ascii="Arial" w:hAnsi="Arial" w:cs="Arial"/>
                <w:sz w:val="24"/>
                <w:szCs w:val="24"/>
                <w:lang w:val="en"/>
              </w:rPr>
              <w:t>$48,925</w:t>
            </w:r>
          </w:p>
        </w:tc>
      </w:tr>
      <w:tr w:rsidR="00F8586D" w:rsidRPr="00F8762A" w14:paraId="3A265322" w14:textId="77777777" w:rsidTr="000636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tcBorders>
              <w:right w:val="none" w:sz="0" w:space="0" w:color="auto"/>
            </w:tcBorders>
          </w:tcPr>
          <w:p w14:paraId="511F48C3" w14:textId="77777777" w:rsidR="00F8586D" w:rsidRPr="00F8762A" w:rsidRDefault="00F8586D" w:rsidP="0006366B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  <w:r w:rsidRPr="00F8762A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Saint Eugene’s Cathedral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left w:val="none" w:sz="0" w:space="0" w:color="auto"/>
              <w:right w:val="none" w:sz="0" w:space="0" w:color="auto"/>
            </w:tcBorders>
          </w:tcPr>
          <w:p w14:paraId="38373CDA" w14:textId="77777777" w:rsidR="00F8586D" w:rsidRPr="00F8762A" w:rsidRDefault="00F8586D" w:rsidP="0006366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F8762A">
              <w:rPr>
                <w:rFonts w:ascii="Arial" w:hAnsi="Arial" w:cs="Arial"/>
                <w:sz w:val="24"/>
                <w:szCs w:val="24"/>
                <w:lang w:val="en"/>
              </w:rPr>
              <w:t>$61,951</w:t>
            </w:r>
          </w:p>
        </w:tc>
      </w:tr>
      <w:tr w:rsidR="00F8586D" w:rsidRPr="00F8762A" w14:paraId="7AFF9E86" w14:textId="77777777" w:rsidTr="0006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501451" w14:textId="77777777" w:rsidR="00F8586D" w:rsidRPr="00F8762A" w:rsidRDefault="00F8586D" w:rsidP="0006366B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  <w:r w:rsidRPr="00F8762A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Cardinal Newman High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2866E0" w14:textId="77777777" w:rsidR="00F8586D" w:rsidRPr="00F8762A" w:rsidRDefault="00F8586D" w:rsidP="0006366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F8762A">
              <w:rPr>
                <w:rFonts w:ascii="Arial" w:hAnsi="Arial" w:cs="Arial"/>
                <w:sz w:val="24"/>
                <w:szCs w:val="24"/>
                <w:lang w:val="en"/>
              </w:rPr>
              <w:t>$1,066,126</w:t>
            </w:r>
          </w:p>
        </w:tc>
      </w:tr>
    </w:tbl>
    <w:p w14:paraId="28D1A7D2" w14:textId="7056C669" w:rsidR="008F2A8D" w:rsidRPr="00F8586D" w:rsidRDefault="008F2A8D" w:rsidP="00F8586D"/>
    <w:sectPr w:rsidR="008F2A8D" w:rsidRPr="00F8586D" w:rsidSect="00833BB0">
      <w:pgSz w:w="12240" w:h="15840" w:code="1"/>
      <w:pgMar w:top="72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C1DB" w14:textId="77777777" w:rsidR="00833BB0" w:rsidRDefault="00833BB0" w:rsidP="003C59FF">
      <w:pPr>
        <w:spacing w:after="0" w:line="240" w:lineRule="auto"/>
      </w:pPr>
      <w:r>
        <w:separator/>
      </w:r>
    </w:p>
  </w:endnote>
  <w:endnote w:type="continuationSeparator" w:id="0">
    <w:p w14:paraId="63C7580C" w14:textId="77777777" w:rsidR="00833BB0" w:rsidRDefault="00833BB0" w:rsidP="003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88D3" w14:textId="77777777" w:rsidR="00833BB0" w:rsidRDefault="00833BB0" w:rsidP="003C59FF">
      <w:pPr>
        <w:spacing w:after="0" w:line="240" w:lineRule="auto"/>
      </w:pPr>
      <w:r>
        <w:separator/>
      </w:r>
    </w:p>
  </w:footnote>
  <w:footnote w:type="continuationSeparator" w:id="0">
    <w:p w14:paraId="276E6FA4" w14:textId="77777777" w:rsidR="00833BB0" w:rsidRDefault="00833BB0" w:rsidP="003C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9C6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180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B89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C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24F4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855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6ED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4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0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E03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741871">
    <w:abstractNumId w:val="9"/>
  </w:num>
  <w:num w:numId="2" w16cid:durableId="145896868">
    <w:abstractNumId w:val="7"/>
  </w:num>
  <w:num w:numId="3" w16cid:durableId="1933512810">
    <w:abstractNumId w:val="6"/>
  </w:num>
  <w:num w:numId="4" w16cid:durableId="492528798">
    <w:abstractNumId w:val="5"/>
  </w:num>
  <w:num w:numId="5" w16cid:durableId="1319529187">
    <w:abstractNumId w:val="4"/>
  </w:num>
  <w:num w:numId="6" w16cid:durableId="516624882">
    <w:abstractNumId w:val="8"/>
  </w:num>
  <w:num w:numId="7" w16cid:durableId="650598296">
    <w:abstractNumId w:val="3"/>
  </w:num>
  <w:num w:numId="8" w16cid:durableId="239027135">
    <w:abstractNumId w:val="2"/>
  </w:num>
  <w:num w:numId="9" w16cid:durableId="278031614">
    <w:abstractNumId w:val="1"/>
  </w:num>
  <w:num w:numId="10" w16cid:durableId="50312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wMDA2NzQwN7IwsjRX0lEKTi0uzszPAykwqgUAgZA9HywAAAA="/>
  </w:docVars>
  <w:rsids>
    <w:rsidRoot w:val="002E6D01"/>
    <w:rsid w:val="00042629"/>
    <w:rsid w:val="00113F5F"/>
    <w:rsid w:val="00156BF4"/>
    <w:rsid w:val="002120B8"/>
    <w:rsid w:val="00264C44"/>
    <w:rsid w:val="002E4B0A"/>
    <w:rsid w:val="002E6D01"/>
    <w:rsid w:val="002F2193"/>
    <w:rsid w:val="003C0F09"/>
    <w:rsid w:val="003C59FF"/>
    <w:rsid w:val="00501DBF"/>
    <w:rsid w:val="005C690F"/>
    <w:rsid w:val="00664794"/>
    <w:rsid w:val="006A6A1E"/>
    <w:rsid w:val="007463CD"/>
    <w:rsid w:val="007537F1"/>
    <w:rsid w:val="00762D94"/>
    <w:rsid w:val="007C7003"/>
    <w:rsid w:val="007D0CFA"/>
    <w:rsid w:val="00833BB0"/>
    <w:rsid w:val="00836E35"/>
    <w:rsid w:val="008A00E5"/>
    <w:rsid w:val="008F2A8D"/>
    <w:rsid w:val="0094718E"/>
    <w:rsid w:val="00992AEF"/>
    <w:rsid w:val="009E6203"/>
    <w:rsid w:val="00AA6FE0"/>
    <w:rsid w:val="00AD1646"/>
    <w:rsid w:val="00C12296"/>
    <w:rsid w:val="00C22259"/>
    <w:rsid w:val="00C717AA"/>
    <w:rsid w:val="00CA240A"/>
    <w:rsid w:val="00CC7449"/>
    <w:rsid w:val="00D94855"/>
    <w:rsid w:val="00DA2CAA"/>
    <w:rsid w:val="00DD7ADA"/>
    <w:rsid w:val="00ED2DCC"/>
    <w:rsid w:val="00F8586D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CA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2A"/>
  </w:style>
  <w:style w:type="paragraph" w:styleId="Heading1">
    <w:name w:val="heading 1"/>
    <w:basedOn w:val="Normal"/>
    <w:next w:val="Normal"/>
    <w:link w:val="Heading1Char"/>
    <w:uiPriority w:val="9"/>
    <w:qFormat/>
    <w:rsid w:val="007D0CF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64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AD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0CF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64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AD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FF"/>
  </w:style>
  <w:style w:type="paragraph" w:styleId="Footer">
    <w:name w:val="footer"/>
    <w:basedOn w:val="Normal"/>
    <w:link w:val="FooterChar"/>
    <w:uiPriority w:val="99"/>
    <w:unhideWhenUsed/>
    <w:rsid w:val="003C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FF"/>
  </w:style>
  <w:style w:type="table" w:styleId="GridTable4-Accent1">
    <w:name w:val="Grid Table 4 Accent 1"/>
    <w:basedOn w:val="TableNormal"/>
    <w:uiPriority w:val="49"/>
    <w:rsid w:val="00F876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F8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876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5">
    <w:name w:val="Grid Table 3 Accent 5"/>
    <w:basedOn w:val="TableNormal"/>
    <w:uiPriority w:val="48"/>
    <w:rsid w:val="00F876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F8762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F876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463C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26</Lines>
  <Paragraphs>15</Paragraphs>
  <ScaleCrop>false</ScaleCrop>
  <Manager/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SERV Calc Method Equit Svs Propor Share - Title I, Part A (CA Dept of Education)</dc:title>
  <dc:subject>Sample document of Project SERV Method of Calculating Equitable Services Proportional Share formula.</dc:subject>
  <dc:creator/>
  <cp:keywords/>
  <dc:description/>
  <cp:lastModifiedBy/>
  <cp:revision>1</cp:revision>
  <dcterms:created xsi:type="dcterms:W3CDTF">2024-02-14T22:56:00Z</dcterms:created>
  <dcterms:modified xsi:type="dcterms:W3CDTF">2024-02-14T22:56:00Z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403a7f7b996617d04e8ed071d90ad1334184bf0e560652d0b97f3b1ff4caacfc</vt:lpwstr>
  </property>
</Properties>
</file>