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FD" w:rsidRDefault="00FB25FD" w:rsidP="00FB25FD">
      <w:pPr>
        <w:rPr>
          <w:rFonts w:ascii="Arial" w:hAnsi="Arial" w:cs="Arial"/>
          <w:sz w:val="24"/>
          <w:szCs w:val="24"/>
        </w:rPr>
      </w:pPr>
      <w:r w:rsidRPr="003667E1">
        <w:rPr>
          <w:rFonts w:ascii="Arial" w:hAnsi="Arial" w:cs="Arial"/>
          <w:sz w:val="24"/>
          <w:szCs w:val="24"/>
        </w:rPr>
        <w:t>California Department of Education</w:t>
      </w:r>
      <w:r w:rsidRPr="003667E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December</w:t>
      </w:r>
      <w:r w:rsidRPr="003667E1">
        <w:rPr>
          <w:rFonts w:ascii="Arial" w:hAnsi="Arial" w:cs="Arial"/>
          <w:sz w:val="24"/>
          <w:szCs w:val="24"/>
        </w:rPr>
        <w:t xml:space="preserve"> </w:t>
      </w:r>
      <w:r w:rsidR="00036F0C" w:rsidRPr="0083448F">
        <w:rPr>
          <w:rFonts w:ascii="Arial" w:hAnsi="Arial" w:cs="Arial"/>
          <w:sz w:val="24"/>
          <w:szCs w:val="24"/>
        </w:rPr>
        <w:t>2019</w:t>
      </w:r>
    </w:p>
    <w:p w:rsidR="00FB25FD" w:rsidRPr="00276342" w:rsidRDefault="00FB25FD" w:rsidP="00FB25FD">
      <w:pPr>
        <w:pStyle w:val="Heading1"/>
        <w:rPr>
          <w:rFonts w:cs="Arial"/>
          <w:sz w:val="36"/>
          <w:szCs w:val="36"/>
        </w:rPr>
      </w:pPr>
      <w:r w:rsidRPr="00276342">
        <w:rPr>
          <w:rFonts w:cs="Arial"/>
          <w:sz w:val="36"/>
          <w:szCs w:val="36"/>
        </w:rPr>
        <w:t>Five-by-Five Colored Tables for State Measures</w:t>
      </w:r>
    </w:p>
    <w:p w:rsidR="00FB25FD" w:rsidRPr="00FC4D4D" w:rsidRDefault="00FB25FD" w:rsidP="00FB25F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6209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Performance on the </w:t>
      </w:r>
      <w:r w:rsidRPr="00862095">
        <w:rPr>
          <w:rFonts w:ascii="Arial" w:eastAsia="Times New Roman" w:hAnsi="Arial" w:cs="Arial"/>
          <w:bCs/>
          <w:sz w:val="24"/>
          <w:szCs w:val="24"/>
        </w:rPr>
        <w:t>state measures</w:t>
      </w:r>
      <w:r w:rsidRPr="0086209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is 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calculated </w:t>
      </w:r>
      <w:r w:rsidRPr="0086209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based on data from current and prior years </w:t>
      </w:r>
      <w:r w:rsidRPr="00FC4D4D">
        <w:rPr>
          <w:rFonts w:ascii="Arial" w:eastAsia="Times New Roman" w:hAnsi="Arial" w:cs="Arial"/>
          <w:color w:val="000000"/>
          <w:sz w:val="24"/>
          <w:szCs w:val="24"/>
          <w:lang w:val="en"/>
        </w:rPr>
        <w:t>resulting in five color-coded performance levels for each indicator. From highest to lowest the performance levels are: Blue, Green, Yellow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,</w:t>
      </w:r>
      <w:r w:rsidRPr="00FC4D4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Orange, and Red.</w:t>
      </w:r>
    </w:p>
    <w:p w:rsidR="00FB25FD" w:rsidRPr="00FC4D4D" w:rsidRDefault="00FB25FD" w:rsidP="00FB25F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FC4D4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five color-coded performance levels are calculated using percentiles to create a five-by-five colored table (giving 25 results) that combine 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data from the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current</w:t>
      </w:r>
      <w:r w:rsidRPr="00FC4D4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and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prior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years</w:t>
      </w:r>
      <w:r w:rsidRPr="00FC4D4D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.</w:t>
      </w:r>
      <w:r w:rsidRPr="00FC4D4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</w:p>
    <w:p w:rsidR="00FB25FD" w:rsidRPr="00FC4D4D" w:rsidRDefault="00FB25FD" w:rsidP="00FB25F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FC4D4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This 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document</w:t>
      </w:r>
      <w:r w:rsidRPr="00FC4D4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provides the five-by-five colored table for each of the state 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measures</w:t>
      </w:r>
      <w:r w:rsidRPr="00FC4D4D">
        <w:rPr>
          <w:rFonts w:ascii="Arial" w:eastAsia="Times New Roman" w:hAnsi="Arial" w:cs="Arial"/>
          <w:color w:val="000000"/>
          <w:sz w:val="24"/>
          <w:szCs w:val="24"/>
          <w:lang w:val="en"/>
        </w:rPr>
        <w:t>:</w:t>
      </w:r>
    </w:p>
    <w:p w:rsidR="00FB25FD" w:rsidRDefault="00FB25FD" w:rsidP="00FB25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Chronic Absenteeism</w:t>
      </w:r>
    </w:p>
    <w:p w:rsidR="00FB25FD" w:rsidRPr="00FC4D4D" w:rsidRDefault="00FB25FD" w:rsidP="00FB25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FC4D4D">
        <w:rPr>
          <w:rFonts w:ascii="Arial" w:eastAsia="Times New Roman" w:hAnsi="Arial" w:cs="Arial"/>
          <w:sz w:val="24"/>
          <w:szCs w:val="24"/>
          <w:lang w:val="en"/>
        </w:rPr>
        <w:t>Suspension Rate</w:t>
      </w:r>
    </w:p>
    <w:p w:rsidR="00FB25FD" w:rsidRPr="00FC4D4D" w:rsidRDefault="00FB25FD" w:rsidP="00FB25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FC4D4D">
        <w:rPr>
          <w:rFonts w:ascii="Arial" w:eastAsia="Times New Roman" w:hAnsi="Arial" w:cs="Arial"/>
          <w:sz w:val="24"/>
          <w:szCs w:val="24"/>
          <w:lang w:val="en"/>
        </w:rPr>
        <w:t>English Learner Progress Indicator</w:t>
      </w:r>
    </w:p>
    <w:p w:rsidR="00FB25FD" w:rsidRPr="00FC4D4D" w:rsidRDefault="00FB25FD" w:rsidP="00FB25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FC4D4D">
        <w:rPr>
          <w:rFonts w:ascii="Arial" w:eastAsia="Times New Roman" w:hAnsi="Arial" w:cs="Arial"/>
          <w:sz w:val="24"/>
          <w:szCs w:val="24"/>
          <w:lang w:val="en"/>
        </w:rPr>
        <w:t>Graduation Rate Indicator</w:t>
      </w:r>
    </w:p>
    <w:p w:rsidR="00FB25FD" w:rsidRDefault="00FB25FD" w:rsidP="00FB25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FC4D4D">
        <w:rPr>
          <w:rFonts w:ascii="Arial" w:eastAsia="Times New Roman" w:hAnsi="Arial" w:cs="Arial"/>
          <w:sz w:val="24"/>
          <w:szCs w:val="24"/>
          <w:lang w:val="en"/>
        </w:rPr>
        <w:t>Academic Indicator</w:t>
      </w:r>
    </w:p>
    <w:p w:rsidR="00FD102D" w:rsidRDefault="00FD102D" w:rsidP="00FB25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College/Career Indicator</w:t>
      </w:r>
    </w:p>
    <w:p w:rsidR="00FD102D" w:rsidRPr="00FD102D" w:rsidRDefault="00FB25FD" w:rsidP="00FD102D">
      <w:pPr>
        <w:pStyle w:val="Heading2"/>
      </w:pPr>
      <w:r>
        <w:rPr>
          <w:rFonts w:eastAsia="Times New Roman"/>
          <w:sz w:val="24"/>
          <w:szCs w:val="24"/>
          <w:lang w:val="en"/>
        </w:rPr>
        <w:br w:type="page"/>
      </w:r>
      <w:r w:rsidRPr="006879C9">
        <w:lastRenderedPageBreak/>
        <w:t>Chronic Absenteeism</w:t>
      </w:r>
    </w:p>
    <w:p w:rsidR="00926394" w:rsidRDefault="00FD102D" w:rsidP="0088225B">
      <w:pPr>
        <w:pStyle w:val="Heading3"/>
        <w:rPr>
          <w:lang w:val="en"/>
        </w:rPr>
      </w:pPr>
      <w:r>
        <w:rPr>
          <w:rFonts w:cs="Arial"/>
          <w:szCs w:val="24"/>
          <w:lang w:val="en"/>
        </w:rPr>
        <w:t>Chronic Absenteeism Measure</w:t>
      </w:r>
      <w:r w:rsidRPr="00276342">
        <w:rPr>
          <w:rFonts w:cs="Arial"/>
          <w:szCs w:val="24"/>
          <w:lang w:val="en"/>
        </w:rPr>
        <w:t xml:space="preserve"> Five-by-Five Colored Table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Table for Chronic Absenteeism."/>
      </w:tblPr>
      <w:tblGrid>
        <w:gridCol w:w="1590"/>
        <w:gridCol w:w="1555"/>
        <w:gridCol w:w="1549"/>
        <w:gridCol w:w="1553"/>
        <w:gridCol w:w="1546"/>
        <w:gridCol w:w="1557"/>
      </w:tblGrid>
      <w:tr w:rsidR="00E8128B" w:rsidTr="0037161C">
        <w:trPr>
          <w:cantSplit/>
          <w:tblHeader/>
        </w:trPr>
        <w:tc>
          <w:tcPr>
            <w:tcW w:w="1558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Performance Level</w:t>
            </w:r>
          </w:p>
        </w:tc>
        <w:tc>
          <w:tcPr>
            <w:tcW w:w="1558" w:type="dxa"/>
            <w:shd w:val="clear" w:color="auto" w:fill="auto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Significantly</w:t>
            </w:r>
          </w:p>
          <w:p w:rsidR="00E8128B" w:rsidRPr="00FB25FD" w:rsidRDefault="00E8128B" w:rsidP="00EE01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</w:t>
            </w:r>
            <w:r w:rsidR="00EE01E6">
              <w:rPr>
                <w:rFonts w:ascii="Arial" w:eastAsia="Times New Roman" w:hAnsi="Arial" w:cs="Arial"/>
                <w:sz w:val="24"/>
                <w:szCs w:val="24"/>
              </w:rPr>
              <w:t xml:space="preserve"> greater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3.0%)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from Prior Year (by 0.5% </w:t>
            </w:r>
            <w:r w:rsidR="00DF7952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3.0%)</w:t>
            </w:r>
          </w:p>
        </w:tc>
        <w:tc>
          <w:tcPr>
            <w:tcW w:w="1558" w:type="dxa"/>
            <w:shd w:val="clear" w:color="auto" w:fill="auto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(declined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by less than 0.5%)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(by 0.5% to less than 3.0%)</w:t>
            </w:r>
          </w:p>
        </w:tc>
        <w:tc>
          <w:tcPr>
            <w:tcW w:w="1559" w:type="dxa"/>
            <w:shd w:val="clear" w:color="auto" w:fill="auto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 Significantly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(by 3.0% or more)</w:t>
            </w:r>
          </w:p>
        </w:tc>
      </w:tr>
      <w:tr w:rsidR="00E8128B" w:rsidTr="00E8128B">
        <w:trPr>
          <w:trHeight w:val="1565"/>
        </w:trPr>
        <w:tc>
          <w:tcPr>
            <w:tcW w:w="1558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2.5% or less in Current Year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8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8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9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9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E8128B" w:rsidTr="00E8128B">
        <w:trPr>
          <w:trHeight w:val="1790"/>
        </w:trPr>
        <w:tc>
          <w:tcPr>
            <w:tcW w:w="1558" w:type="dxa"/>
            <w:shd w:val="clear" w:color="auto" w:fill="auto"/>
            <w:vAlign w:val="center"/>
          </w:tcPr>
          <w:p w:rsidR="00E8128B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More than 2.5% to 5.0%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 in Current Year</w:t>
            </w:r>
          </w:p>
        </w:tc>
        <w:tc>
          <w:tcPr>
            <w:tcW w:w="1558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8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9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9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E8128B" w:rsidTr="00E8128B">
        <w:trPr>
          <w:trHeight w:val="1610"/>
        </w:trPr>
        <w:tc>
          <w:tcPr>
            <w:tcW w:w="1558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More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5.0% to 10.0% in Current Year</w:t>
            </w:r>
          </w:p>
        </w:tc>
        <w:tc>
          <w:tcPr>
            <w:tcW w:w="1558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8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9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9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</w:tr>
      <w:tr w:rsidR="00E8128B" w:rsidTr="00E8128B">
        <w:trPr>
          <w:trHeight w:val="1610"/>
        </w:trPr>
        <w:tc>
          <w:tcPr>
            <w:tcW w:w="1558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More than 10.0% to 20.0%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 Current Year</w:t>
            </w:r>
          </w:p>
        </w:tc>
        <w:tc>
          <w:tcPr>
            <w:tcW w:w="1558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8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8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  <w:tr w:rsidR="00E8128B" w:rsidTr="00E8128B">
        <w:trPr>
          <w:trHeight w:val="1583"/>
        </w:trPr>
        <w:tc>
          <w:tcPr>
            <w:tcW w:w="1558" w:type="dxa"/>
            <w:shd w:val="clear" w:color="auto" w:fill="auto"/>
            <w:vAlign w:val="center"/>
          </w:tcPr>
          <w:p w:rsidR="00E8128B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More than 20.0%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 in Current Year</w:t>
            </w:r>
          </w:p>
        </w:tc>
        <w:tc>
          <w:tcPr>
            <w:tcW w:w="1558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8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8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9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</w:tbl>
    <w:p w:rsidR="00926394" w:rsidRDefault="00926394">
      <w:pPr>
        <w:spacing w:after="0" w:line="240" w:lineRule="auto"/>
        <w:rPr>
          <w:lang w:val="en"/>
        </w:rPr>
      </w:pPr>
      <w:r>
        <w:rPr>
          <w:lang w:val="en"/>
        </w:rPr>
        <w:br w:type="page"/>
      </w:r>
    </w:p>
    <w:p w:rsidR="00FB25FD" w:rsidRPr="00276342" w:rsidRDefault="00FB25FD" w:rsidP="00FB25FD">
      <w:pPr>
        <w:pStyle w:val="Heading2"/>
      </w:pPr>
      <w:r>
        <w:lastRenderedPageBreak/>
        <w:t>Suspension Rate</w:t>
      </w:r>
    </w:p>
    <w:p w:rsidR="00E8128B" w:rsidRPr="00E8128B" w:rsidRDefault="00FB25FD" w:rsidP="0088225B">
      <w:pPr>
        <w:pStyle w:val="Heading3"/>
        <w:rPr>
          <w:lang w:val="en"/>
        </w:rPr>
      </w:pPr>
      <w:r w:rsidRPr="00276342">
        <w:rPr>
          <w:rFonts w:cs="Arial"/>
          <w:szCs w:val="24"/>
          <w:lang w:val="en"/>
        </w:rPr>
        <w:t>LEA Suspension: Elementary School District Five-by-Five Colored Table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suspension rate table for elemantary school district."/>
      </w:tblPr>
      <w:tblGrid>
        <w:gridCol w:w="1590"/>
        <w:gridCol w:w="1555"/>
        <w:gridCol w:w="1549"/>
        <w:gridCol w:w="1553"/>
        <w:gridCol w:w="1546"/>
        <w:gridCol w:w="1557"/>
      </w:tblGrid>
      <w:tr w:rsidR="00E8128B" w:rsidRPr="00FB25FD" w:rsidTr="0037161C">
        <w:trPr>
          <w:cantSplit/>
          <w:tblHeader/>
        </w:trPr>
        <w:tc>
          <w:tcPr>
            <w:tcW w:w="1590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Performance Level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Significantly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greater than 2.0%)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0.3% to 2.0%)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(declined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by less than 0.3%)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(by 0.3% to less than 2.0%)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 Significantly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(by 2.0% or greater)</w:t>
            </w:r>
          </w:p>
        </w:tc>
      </w:tr>
      <w:tr w:rsidR="00E8128B" w:rsidRPr="00FB25FD" w:rsidTr="00E8128B">
        <w:trPr>
          <w:trHeight w:val="1565"/>
        </w:trPr>
        <w:tc>
          <w:tcPr>
            <w:tcW w:w="1590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0.5% or less in Current Year</w:t>
            </w:r>
          </w:p>
        </w:tc>
        <w:tc>
          <w:tcPr>
            <w:tcW w:w="1555" w:type="dxa"/>
            <w:shd w:val="clear" w:color="auto" w:fill="9F9F9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N/</w:t>
            </w:r>
            <w:r w:rsidRPr="00FB25FD">
              <w:rPr>
                <w:rFonts w:ascii="Arial" w:eastAsia="Times New Roman" w:hAnsi="Arial" w:cs="Arial"/>
                <w:sz w:val="24"/>
                <w:szCs w:val="24"/>
                <w:shd w:val="clear" w:color="auto" w:fill="9F9F9F"/>
              </w:rPr>
              <w:t>A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46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E8128B" w:rsidRPr="00FB25FD" w:rsidTr="00E8128B">
        <w:trPr>
          <w:trHeight w:val="1790"/>
        </w:trPr>
        <w:tc>
          <w:tcPr>
            <w:tcW w:w="1590" w:type="dxa"/>
            <w:shd w:val="clear" w:color="auto" w:fill="auto"/>
            <w:vAlign w:val="center"/>
          </w:tcPr>
          <w:p w:rsidR="00E8128B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Greater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0.5% to 1.5% in Current Year</w:t>
            </w:r>
          </w:p>
        </w:tc>
        <w:tc>
          <w:tcPr>
            <w:tcW w:w="1555" w:type="dxa"/>
            <w:shd w:val="clear" w:color="auto" w:fill="9F9F9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3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E8128B" w:rsidRPr="00FB25FD" w:rsidTr="00E8128B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Greater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1.5% to 3.0% in Current Year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</w:tr>
      <w:tr w:rsidR="00E8128B" w:rsidRPr="00FB25FD" w:rsidTr="00E8128B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Greater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3.0% to 6.0% in Current Year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6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  <w:tr w:rsidR="00E8128B" w:rsidRPr="00FB25FD" w:rsidTr="00E8128B">
        <w:trPr>
          <w:trHeight w:val="1583"/>
        </w:trPr>
        <w:tc>
          <w:tcPr>
            <w:tcW w:w="1590" w:type="dxa"/>
            <w:shd w:val="clear" w:color="auto" w:fill="auto"/>
            <w:vAlign w:val="center"/>
          </w:tcPr>
          <w:p w:rsidR="00E8128B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Greater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6.0% in Current Year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3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6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</w:tbl>
    <w:p w:rsidR="00FB25FD" w:rsidRDefault="00FB25FD" w:rsidP="0088225B">
      <w:pPr>
        <w:pStyle w:val="Heading3"/>
        <w:rPr>
          <w:rFonts w:cs="Arial"/>
          <w:szCs w:val="24"/>
        </w:rPr>
      </w:pPr>
      <w:r>
        <w:br w:type="page"/>
      </w:r>
      <w:r w:rsidRPr="00276342">
        <w:lastRenderedPageBreak/>
        <w:t>LEA Suspension: High School District Five-by-Five Colored Table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table for Suspension Rate for high school district."/>
      </w:tblPr>
      <w:tblGrid>
        <w:gridCol w:w="1590"/>
        <w:gridCol w:w="1555"/>
        <w:gridCol w:w="1549"/>
        <w:gridCol w:w="1553"/>
        <w:gridCol w:w="1546"/>
        <w:gridCol w:w="1557"/>
      </w:tblGrid>
      <w:tr w:rsidR="00E8128B" w:rsidTr="0037161C">
        <w:trPr>
          <w:cantSplit/>
          <w:tblHeader/>
        </w:trPr>
        <w:tc>
          <w:tcPr>
            <w:tcW w:w="1590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Performance Level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Significantly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greater than 3.0%)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0.5% to 3.0%)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(declined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by less than 0.5%)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rior Year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(by 0.5% to less than 3.0%)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 Significantly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(by 3.0% or greater)</w:t>
            </w:r>
          </w:p>
        </w:tc>
      </w:tr>
      <w:tr w:rsidR="00E8128B" w:rsidTr="00E8128B">
        <w:trPr>
          <w:trHeight w:val="1565"/>
        </w:trPr>
        <w:tc>
          <w:tcPr>
            <w:tcW w:w="1590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1.5% or less in Current Year</w:t>
            </w:r>
          </w:p>
        </w:tc>
        <w:tc>
          <w:tcPr>
            <w:tcW w:w="1555" w:type="dxa"/>
            <w:shd w:val="clear" w:color="auto" w:fill="9F9F9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N/</w:t>
            </w:r>
            <w:r w:rsidRPr="00FB25FD">
              <w:rPr>
                <w:rFonts w:ascii="Arial" w:eastAsia="Times New Roman" w:hAnsi="Arial" w:cs="Arial"/>
                <w:sz w:val="24"/>
                <w:szCs w:val="24"/>
                <w:shd w:val="clear" w:color="auto" w:fill="9F9F9F"/>
              </w:rPr>
              <w:t>A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46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E8128B" w:rsidTr="00E8128B">
        <w:trPr>
          <w:trHeight w:val="1790"/>
        </w:trPr>
        <w:tc>
          <w:tcPr>
            <w:tcW w:w="1590" w:type="dxa"/>
            <w:shd w:val="clear" w:color="auto" w:fill="auto"/>
            <w:vAlign w:val="center"/>
          </w:tcPr>
          <w:p w:rsidR="00E8128B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Greater than 1.5% to 3.5%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 in Current Year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3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E8128B" w:rsidTr="00E8128B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Greate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3.5% to 6.0% in Current Year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</w:tr>
      <w:tr w:rsidR="00E8128B" w:rsidTr="00E8128B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Greater than 6.0% to 9.0%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 in Current Year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6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  <w:tr w:rsidR="00E8128B" w:rsidTr="00E8128B">
        <w:trPr>
          <w:trHeight w:val="1583"/>
        </w:trPr>
        <w:tc>
          <w:tcPr>
            <w:tcW w:w="1590" w:type="dxa"/>
            <w:shd w:val="clear" w:color="auto" w:fill="auto"/>
            <w:vAlign w:val="center"/>
          </w:tcPr>
          <w:p w:rsidR="00E8128B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Greater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9.0</w:t>
            </w:r>
            <w:r w:rsidRPr="00FB25FD">
              <w:rPr>
                <w:rFonts w:eastAsia="Times New Roman" w:cs="Arial"/>
                <w:szCs w:val="24"/>
              </w:rPr>
              <w:t>% in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 Current Year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3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6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</w:tbl>
    <w:p w:rsidR="00926394" w:rsidRPr="007B1463" w:rsidRDefault="00FB25FD" w:rsidP="00FB25FD">
      <w:pPr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8128B" w:rsidRPr="00E8128B" w:rsidRDefault="00FB25FD" w:rsidP="0088225B">
      <w:pPr>
        <w:pStyle w:val="Heading3"/>
        <w:rPr>
          <w:lang w:val="en"/>
        </w:rPr>
      </w:pPr>
      <w:r w:rsidRPr="007B1463">
        <w:rPr>
          <w:lang w:val="en"/>
        </w:rPr>
        <w:lastRenderedPageBreak/>
        <w:t xml:space="preserve">LEA Suspension: Unified District </w:t>
      </w:r>
      <w:r>
        <w:rPr>
          <w:lang w:val="en"/>
        </w:rPr>
        <w:t xml:space="preserve">and K–12 Schools </w:t>
      </w:r>
      <w:r w:rsidRPr="007B1463">
        <w:rPr>
          <w:lang w:val="en"/>
        </w:rPr>
        <w:t>Five-by-Five Colored Table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table suspension rate for unified district and K-12."/>
      </w:tblPr>
      <w:tblGrid>
        <w:gridCol w:w="1590"/>
        <w:gridCol w:w="1555"/>
        <w:gridCol w:w="1549"/>
        <w:gridCol w:w="1553"/>
        <w:gridCol w:w="1546"/>
        <w:gridCol w:w="1557"/>
      </w:tblGrid>
      <w:tr w:rsidR="00E8128B" w:rsidRPr="00FB25FD" w:rsidTr="0037161C">
        <w:trPr>
          <w:cantSplit/>
          <w:tblHeader/>
        </w:trPr>
        <w:tc>
          <w:tcPr>
            <w:tcW w:w="1590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Performance Level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Significantly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(by greater than 2.0%)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0.3% to 2.0%)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(declined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by less than 0.3%)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(by 0.3% to less than 2.0%)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 Significantly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(by 2.0% or greater)</w:t>
            </w:r>
          </w:p>
        </w:tc>
      </w:tr>
      <w:tr w:rsidR="00E8128B" w:rsidRPr="00FB25FD" w:rsidTr="00E8128B">
        <w:trPr>
          <w:trHeight w:val="1565"/>
        </w:trPr>
        <w:tc>
          <w:tcPr>
            <w:tcW w:w="1590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1.0% or less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 Current Year</w:t>
            </w:r>
          </w:p>
        </w:tc>
        <w:tc>
          <w:tcPr>
            <w:tcW w:w="1555" w:type="dxa"/>
            <w:shd w:val="clear" w:color="auto" w:fill="9F9F9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N/</w:t>
            </w:r>
            <w:r w:rsidRPr="00FB25FD">
              <w:rPr>
                <w:rFonts w:ascii="Arial" w:eastAsia="Times New Roman" w:hAnsi="Arial" w:cs="Arial"/>
                <w:sz w:val="24"/>
                <w:szCs w:val="24"/>
                <w:shd w:val="clear" w:color="auto" w:fill="9F9F9F"/>
              </w:rPr>
              <w:t>A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46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E8128B" w:rsidRPr="00FB25FD" w:rsidTr="00E8128B">
        <w:trPr>
          <w:trHeight w:val="1790"/>
        </w:trPr>
        <w:tc>
          <w:tcPr>
            <w:tcW w:w="1590" w:type="dxa"/>
            <w:shd w:val="clear" w:color="auto" w:fill="auto"/>
            <w:vAlign w:val="center"/>
          </w:tcPr>
          <w:p w:rsidR="00E8128B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Greater than 1.0% to 2.5%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 in Current Year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3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E8128B" w:rsidRPr="00FB25FD" w:rsidTr="00E8128B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Greater than 2.5% to 4.5%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 in Current Year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</w:tr>
      <w:tr w:rsidR="00E8128B" w:rsidRPr="00FB25FD" w:rsidTr="00E8128B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Greater than 4.5% to 8.0%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 in Current Year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6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  <w:tr w:rsidR="00E8128B" w:rsidRPr="00FB25FD" w:rsidTr="00E8128B">
        <w:trPr>
          <w:trHeight w:val="1583"/>
        </w:trPr>
        <w:tc>
          <w:tcPr>
            <w:tcW w:w="1590" w:type="dxa"/>
            <w:shd w:val="clear" w:color="auto" w:fill="auto"/>
            <w:vAlign w:val="center"/>
          </w:tcPr>
          <w:p w:rsidR="00E8128B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Greater than 8.0%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 in Current Year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3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6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</w:tbl>
    <w:p w:rsidR="00FB25FD" w:rsidRPr="00276342" w:rsidRDefault="00FB25FD" w:rsidP="00FB25FD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br w:type="page"/>
      </w:r>
      <w:r w:rsidRPr="007B1463">
        <w:rPr>
          <w:lang w:val="en"/>
        </w:rPr>
        <w:lastRenderedPageBreak/>
        <w:t>School Suspension: Elementary Five-by-Five Colored Table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table school suspension for elementary."/>
      </w:tblPr>
      <w:tblGrid>
        <w:gridCol w:w="1590"/>
        <w:gridCol w:w="1555"/>
        <w:gridCol w:w="1549"/>
        <w:gridCol w:w="1553"/>
        <w:gridCol w:w="1546"/>
        <w:gridCol w:w="1557"/>
      </w:tblGrid>
      <w:tr w:rsidR="00E8128B" w:rsidRPr="00FB25FD" w:rsidTr="0037161C">
        <w:trPr>
          <w:cantSplit/>
          <w:tblHeader/>
        </w:trPr>
        <w:tc>
          <w:tcPr>
            <w:tcW w:w="1590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Performance Level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Significantly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greater than 2.0%)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0.3% to 2.0%)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(declined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by less than 0.3%)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(by 0.3% to less than 1.0%)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 Significantly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(by 1.0% or greater)</w:t>
            </w:r>
          </w:p>
        </w:tc>
      </w:tr>
      <w:tr w:rsidR="00E8128B" w:rsidRPr="00FB25FD" w:rsidTr="00E8128B">
        <w:trPr>
          <w:trHeight w:val="1565"/>
        </w:trPr>
        <w:tc>
          <w:tcPr>
            <w:tcW w:w="1590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0.5% or less</w:t>
            </w:r>
          </w:p>
        </w:tc>
        <w:tc>
          <w:tcPr>
            <w:tcW w:w="1555" w:type="dxa"/>
            <w:shd w:val="clear" w:color="auto" w:fill="9F9F9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N/</w:t>
            </w:r>
            <w:r w:rsidRPr="00FB25FD">
              <w:rPr>
                <w:rFonts w:ascii="Arial" w:eastAsia="Times New Roman" w:hAnsi="Arial" w:cs="Arial"/>
                <w:sz w:val="24"/>
                <w:szCs w:val="24"/>
                <w:shd w:val="clear" w:color="auto" w:fill="9F9F9F"/>
              </w:rPr>
              <w:t>A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46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E8128B" w:rsidRPr="00FB25FD" w:rsidTr="00E8128B">
        <w:trPr>
          <w:trHeight w:val="1790"/>
        </w:trPr>
        <w:tc>
          <w:tcPr>
            <w:tcW w:w="1590" w:type="dxa"/>
            <w:shd w:val="clear" w:color="auto" w:fill="auto"/>
            <w:vAlign w:val="center"/>
          </w:tcPr>
          <w:p w:rsidR="00E8128B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Greater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0.5% to 1.0%</w:t>
            </w:r>
          </w:p>
        </w:tc>
        <w:tc>
          <w:tcPr>
            <w:tcW w:w="1555" w:type="dxa"/>
            <w:shd w:val="clear" w:color="auto" w:fill="9F9F9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3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E8128B" w:rsidRPr="00FB25FD" w:rsidTr="00E8128B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Greater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1.0% to 3.0%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6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</w:tr>
      <w:tr w:rsidR="00E8128B" w:rsidRPr="00FB25FD" w:rsidTr="00E8128B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Greater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3.0% to 6.0%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6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  <w:tr w:rsidR="00E8128B" w:rsidRPr="00FB25FD" w:rsidTr="00E8128B">
        <w:trPr>
          <w:trHeight w:val="1583"/>
        </w:trPr>
        <w:tc>
          <w:tcPr>
            <w:tcW w:w="1590" w:type="dxa"/>
            <w:shd w:val="clear" w:color="auto" w:fill="auto"/>
            <w:vAlign w:val="center"/>
          </w:tcPr>
          <w:p w:rsidR="00E8128B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Greater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6.0%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3" w:type="dxa"/>
            <w:shd w:val="clear" w:color="auto" w:fill="A200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6" w:type="dxa"/>
            <w:shd w:val="clear" w:color="auto" w:fill="FFA5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E8128B" w:rsidRPr="00FB25FD" w:rsidRDefault="00E8128B" w:rsidP="00E8128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</w:tbl>
    <w:p w:rsidR="00FB25FD" w:rsidRPr="007B1463" w:rsidRDefault="00FB25FD" w:rsidP="00FB25FD">
      <w:pPr>
        <w:pStyle w:val="Heading3"/>
        <w:rPr>
          <w:lang w:val="en"/>
        </w:rPr>
      </w:pPr>
      <w:r>
        <w:rPr>
          <w:lang w:val="en"/>
        </w:rPr>
        <w:br w:type="page"/>
      </w:r>
    </w:p>
    <w:p w:rsidR="00FB25FD" w:rsidRDefault="00FB25FD" w:rsidP="00FB25FD">
      <w:pPr>
        <w:pStyle w:val="Heading3"/>
      </w:pPr>
      <w:r w:rsidRPr="007B1463">
        <w:rPr>
          <w:lang w:val="en"/>
        </w:rPr>
        <w:lastRenderedPageBreak/>
        <w:t>School Suspension: Middle School Five-by-Five Colored Table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table suspension for middle school."/>
      </w:tblPr>
      <w:tblGrid>
        <w:gridCol w:w="1590"/>
        <w:gridCol w:w="1555"/>
        <w:gridCol w:w="1549"/>
        <w:gridCol w:w="1553"/>
        <w:gridCol w:w="1546"/>
        <w:gridCol w:w="1557"/>
      </w:tblGrid>
      <w:tr w:rsidR="0012090A" w:rsidRPr="00FB25FD" w:rsidTr="0037161C">
        <w:trPr>
          <w:cantSplit/>
          <w:tblHeader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Performance Level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Significantly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greater than 4.0%)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0.3% to 4.0%)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(declined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by less than 0.3%)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(by 0.3% to less than 3.0%)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 Significantly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(by 3.0% or greater)</w:t>
            </w:r>
          </w:p>
        </w:tc>
      </w:tr>
      <w:tr w:rsidR="0012090A" w:rsidRPr="00FB25FD" w:rsidTr="00CC6FBC">
        <w:trPr>
          <w:trHeight w:val="1565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0.5% or less</w:t>
            </w:r>
          </w:p>
        </w:tc>
        <w:tc>
          <w:tcPr>
            <w:tcW w:w="1555" w:type="dxa"/>
            <w:shd w:val="clear" w:color="auto" w:fill="9F9F9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N/</w:t>
            </w:r>
            <w:r w:rsidRPr="00FB25FD">
              <w:rPr>
                <w:rFonts w:ascii="Arial" w:eastAsia="Times New Roman" w:hAnsi="Arial" w:cs="Arial"/>
                <w:sz w:val="24"/>
                <w:szCs w:val="24"/>
                <w:shd w:val="clear" w:color="auto" w:fill="9F9F9F"/>
              </w:rPr>
              <w:t>A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46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12090A" w:rsidRPr="00FB25FD" w:rsidTr="00CC6FBC">
        <w:trPr>
          <w:trHeight w:val="1790"/>
        </w:trPr>
        <w:tc>
          <w:tcPr>
            <w:tcW w:w="1590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Greater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0.5% to 2.0%</w:t>
            </w:r>
          </w:p>
        </w:tc>
        <w:tc>
          <w:tcPr>
            <w:tcW w:w="1555" w:type="dxa"/>
            <w:shd w:val="clear" w:color="auto" w:fill="9F9F9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3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12090A" w:rsidRPr="00FB25FD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Greater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2.0% to 8.0%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</w:tr>
      <w:tr w:rsidR="0012090A" w:rsidRPr="00FB25FD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Greater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8.0% to 12.0%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6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  <w:tr w:rsidR="0012090A" w:rsidRPr="00FB25FD" w:rsidTr="00CC6FBC">
        <w:trPr>
          <w:trHeight w:val="1583"/>
        </w:trPr>
        <w:tc>
          <w:tcPr>
            <w:tcW w:w="1590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Greater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12.0%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3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6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</w:tbl>
    <w:p w:rsidR="00926394" w:rsidRPr="007B1463" w:rsidRDefault="00FB25FD" w:rsidP="00FB25FD">
      <w:pPr>
        <w:pStyle w:val="Heading3"/>
        <w:rPr>
          <w:lang w:val="en"/>
        </w:rPr>
      </w:pPr>
      <w:r>
        <w:rPr>
          <w:lang w:val="en"/>
        </w:rPr>
        <w:br w:type="page"/>
      </w:r>
    </w:p>
    <w:p w:rsidR="00926394" w:rsidRDefault="00FB25FD" w:rsidP="00FB25FD">
      <w:pPr>
        <w:pStyle w:val="Heading3"/>
        <w:rPr>
          <w:lang w:val="en"/>
        </w:rPr>
      </w:pPr>
      <w:r w:rsidRPr="007B1463">
        <w:rPr>
          <w:lang w:val="en"/>
        </w:rPr>
        <w:lastRenderedPageBreak/>
        <w:t>School Suspension: High School Five-by-Five Colored Table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table suspension for high school."/>
      </w:tblPr>
      <w:tblGrid>
        <w:gridCol w:w="1590"/>
        <w:gridCol w:w="1555"/>
        <w:gridCol w:w="1549"/>
        <w:gridCol w:w="1553"/>
        <w:gridCol w:w="1546"/>
        <w:gridCol w:w="1557"/>
      </w:tblGrid>
      <w:tr w:rsidR="0012090A" w:rsidRPr="00FB25FD" w:rsidTr="0037161C">
        <w:trPr>
          <w:cantSplit/>
          <w:tblHeader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Performance Level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Significantly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(by greater than 3.0%)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0.3% to 3.0%)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(declined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by less than 0.3%)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(by 0.3% to less than 2.0%)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 Significantly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(by 2.0% or greater)</w:t>
            </w:r>
          </w:p>
        </w:tc>
      </w:tr>
      <w:tr w:rsidR="0012090A" w:rsidRPr="00FB25FD" w:rsidTr="00CC6FBC">
        <w:trPr>
          <w:trHeight w:val="1565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0.5% or less</w:t>
            </w:r>
          </w:p>
        </w:tc>
        <w:tc>
          <w:tcPr>
            <w:tcW w:w="1555" w:type="dxa"/>
            <w:shd w:val="clear" w:color="auto" w:fill="9F9F9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N/</w:t>
            </w:r>
            <w:r w:rsidRPr="00FB25FD">
              <w:rPr>
                <w:rFonts w:ascii="Arial" w:eastAsia="Times New Roman" w:hAnsi="Arial" w:cs="Arial"/>
                <w:sz w:val="24"/>
                <w:szCs w:val="24"/>
                <w:shd w:val="clear" w:color="auto" w:fill="9F9F9F"/>
              </w:rPr>
              <w:t>A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46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12090A" w:rsidRPr="00FB25FD" w:rsidTr="00CC6FBC">
        <w:trPr>
          <w:trHeight w:val="1790"/>
        </w:trPr>
        <w:tc>
          <w:tcPr>
            <w:tcW w:w="1590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Greater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0.5% to 1.5%</w:t>
            </w:r>
          </w:p>
        </w:tc>
        <w:tc>
          <w:tcPr>
            <w:tcW w:w="1555" w:type="dxa"/>
            <w:shd w:val="clear" w:color="auto" w:fill="9F9F9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3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12090A" w:rsidRPr="00FB25FD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Greater tha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1.5% to 6.0%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</w:tr>
      <w:tr w:rsidR="0012090A" w:rsidRPr="00FB25FD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Greater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6.0% to 10.0%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6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  <w:tr w:rsidR="0012090A" w:rsidRPr="00FB25FD" w:rsidTr="00CC6FBC">
        <w:trPr>
          <w:trHeight w:val="1583"/>
        </w:trPr>
        <w:tc>
          <w:tcPr>
            <w:tcW w:w="1590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Greater than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10.0%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3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6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</w:tbl>
    <w:p w:rsidR="007745CE" w:rsidRDefault="00FB25FD" w:rsidP="007745CE">
      <w:pPr>
        <w:pStyle w:val="Heading2"/>
      </w:pPr>
      <w:r>
        <w:rPr>
          <w:color w:val="000000"/>
          <w:sz w:val="24"/>
          <w:szCs w:val="24"/>
          <w:lang w:val="en"/>
        </w:rPr>
        <w:br w:type="page"/>
      </w:r>
      <w:r>
        <w:lastRenderedPageBreak/>
        <w:t>English Learner</w:t>
      </w:r>
      <w:r w:rsidRPr="00866AD6">
        <w:t xml:space="preserve"> </w:t>
      </w:r>
      <w:r>
        <w:t>Progress Indicator</w:t>
      </w:r>
    </w:p>
    <w:p w:rsidR="008A7F31" w:rsidRPr="00D74941" w:rsidRDefault="00FB25FD" w:rsidP="00FB25FD">
      <w:pPr>
        <w:rPr>
          <w:rFonts w:ascii="Arial" w:hAnsi="Arial" w:cs="Arial"/>
          <w:strike/>
          <w:sz w:val="24"/>
          <w:szCs w:val="24"/>
          <w:lang w:val="en"/>
        </w:rPr>
      </w:pPr>
      <w:r w:rsidRPr="007745CE">
        <w:rPr>
          <w:rFonts w:ascii="Arial" w:hAnsi="Arial" w:cs="Arial"/>
          <w:sz w:val="24"/>
          <w:szCs w:val="24"/>
          <w:lang w:val="en"/>
        </w:rPr>
        <w:t xml:space="preserve">California has transitioned to a new English proficiency assessment: the English Language Proficiency Assessments for California (ELPAC). </w:t>
      </w:r>
      <w:r w:rsidR="008A7F31" w:rsidRPr="0083448F">
        <w:rPr>
          <w:rFonts w:ascii="Arial" w:hAnsi="Arial" w:cs="Arial"/>
          <w:sz w:val="24"/>
          <w:szCs w:val="24"/>
          <w:lang w:val="en"/>
        </w:rPr>
        <w:t xml:space="preserve">Because </w:t>
      </w:r>
      <w:r w:rsidR="00D74941" w:rsidRPr="0083448F">
        <w:rPr>
          <w:rFonts w:ascii="Arial" w:hAnsi="Arial" w:cs="Arial"/>
          <w:sz w:val="24"/>
          <w:szCs w:val="24"/>
          <w:lang w:val="en"/>
        </w:rPr>
        <w:t xml:space="preserve">this indicator reflects how </w:t>
      </w:r>
      <w:r w:rsidR="00BE63B7" w:rsidRPr="0083448F">
        <w:rPr>
          <w:rFonts w:ascii="Arial" w:hAnsi="Arial" w:cs="Arial"/>
          <w:sz w:val="24"/>
          <w:szCs w:val="24"/>
          <w:lang w:val="en"/>
        </w:rPr>
        <w:t xml:space="preserve">English Learners’ </w:t>
      </w:r>
      <w:r w:rsidR="00806527" w:rsidRPr="0083448F">
        <w:rPr>
          <w:rFonts w:ascii="Arial" w:hAnsi="Arial" w:cs="Arial"/>
          <w:sz w:val="24"/>
          <w:szCs w:val="24"/>
          <w:lang w:val="en"/>
        </w:rPr>
        <w:t xml:space="preserve">are </w:t>
      </w:r>
      <w:r w:rsidR="00BE63B7" w:rsidRPr="0083448F">
        <w:rPr>
          <w:rFonts w:ascii="Arial" w:hAnsi="Arial" w:cs="Arial"/>
          <w:sz w:val="24"/>
          <w:szCs w:val="24"/>
          <w:lang w:val="en"/>
        </w:rPr>
        <w:t>progress</w:t>
      </w:r>
      <w:r w:rsidR="00806527" w:rsidRPr="0083448F">
        <w:rPr>
          <w:rFonts w:ascii="Arial" w:hAnsi="Arial" w:cs="Arial"/>
          <w:sz w:val="24"/>
          <w:szCs w:val="24"/>
          <w:lang w:val="en"/>
        </w:rPr>
        <w:t>ing</w:t>
      </w:r>
      <w:r w:rsidR="00D74941" w:rsidRPr="0083448F">
        <w:rPr>
          <w:rFonts w:ascii="Arial" w:hAnsi="Arial" w:cs="Arial"/>
          <w:sz w:val="24"/>
          <w:szCs w:val="24"/>
          <w:lang w:val="en"/>
        </w:rPr>
        <w:t xml:space="preserve"> in </w:t>
      </w:r>
      <w:r w:rsidR="00806527" w:rsidRPr="0083448F">
        <w:rPr>
          <w:rFonts w:ascii="Arial" w:hAnsi="Arial" w:cs="Arial"/>
          <w:sz w:val="24"/>
          <w:szCs w:val="24"/>
          <w:lang w:val="en"/>
        </w:rPr>
        <w:t xml:space="preserve">acquiring </w:t>
      </w:r>
      <w:r w:rsidR="00D74941" w:rsidRPr="0083448F">
        <w:rPr>
          <w:rFonts w:ascii="Arial" w:hAnsi="Arial" w:cs="Arial"/>
          <w:sz w:val="24"/>
          <w:szCs w:val="24"/>
          <w:lang w:val="en"/>
        </w:rPr>
        <w:t>English</w:t>
      </w:r>
      <w:r w:rsidR="00806527" w:rsidRPr="0083448F">
        <w:rPr>
          <w:rFonts w:ascii="Arial" w:hAnsi="Arial" w:cs="Arial"/>
          <w:sz w:val="24"/>
          <w:szCs w:val="24"/>
          <w:lang w:val="en"/>
        </w:rPr>
        <w:t xml:space="preserve"> language</w:t>
      </w:r>
      <w:r w:rsidR="00D74941" w:rsidRPr="0083448F">
        <w:rPr>
          <w:rFonts w:ascii="Arial" w:hAnsi="Arial" w:cs="Arial"/>
          <w:sz w:val="24"/>
          <w:szCs w:val="24"/>
          <w:lang w:val="en"/>
        </w:rPr>
        <w:t xml:space="preserve"> proficiency, at least two years of ELPAC data are need to calculate Status and at least three years of ELPAC data are needed to calculate Change. Because only </w:t>
      </w:r>
      <w:r w:rsidR="008A7F31" w:rsidRPr="0083448F">
        <w:rPr>
          <w:rFonts w:ascii="Arial" w:hAnsi="Arial" w:cs="Arial"/>
          <w:sz w:val="24"/>
          <w:szCs w:val="24"/>
          <w:lang w:val="en"/>
        </w:rPr>
        <w:t>two years of ELPAC data</w:t>
      </w:r>
      <w:r w:rsidR="00D74941" w:rsidRPr="0083448F">
        <w:rPr>
          <w:rFonts w:ascii="Arial" w:hAnsi="Arial" w:cs="Arial"/>
          <w:sz w:val="24"/>
          <w:szCs w:val="24"/>
          <w:lang w:val="en"/>
        </w:rPr>
        <w:t xml:space="preserve"> are now available, </w:t>
      </w:r>
      <w:r w:rsidR="00E7312E" w:rsidRPr="0083448F">
        <w:rPr>
          <w:rFonts w:ascii="Arial" w:hAnsi="Arial" w:cs="Arial"/>
          <w:sz w:val="24"/>
          <w:szCs w:val="24"/>
          <w:lang w:val="en"/>
        </w:rPr>
        <w:t xml:space="preserve">only Status will be reported </w:t>
      </w:r>
      <w:r w:rsidR="008A7F31" w:rsidRPr="0083448F">
        <w:rPr>
          <w:rFonts w:ascii="Arial" w:hAnsi="Arial" w:cs="Arial"/>
          <w:sz w:val="24"/>
          <w:szCs w:val="24"/>
          <w:lang w:val="en"/>
        </w:rPr>
        <w:t xml:space="preserve">for the 2019 Dashboard. </w:t>
      </w:r>
    </w:p>
    <w:p w:rsidR="00FB25FD" w:rsidRPr="00926394" w:rsidRDefault="00FB25FD" w:rsidP="00FB25FD">
      <w:pPr>
        <w:pStyle w:val="Heading2"/>
        <w:rPr>
          <w:rFonts w:cs="Arial"/>
          <w:sz w:val="24"/>
          <w:szCs w:val="24"/>
          <w:u w:val="single"/>
        </w:rPr>
      </w:pPr>
      <w:r>
        <w:rPr>
          <w:sz w:val="24"/>
          <w:szCs w:val="24"/>
          <w:lang w:val="en"/>
        </w:rPr>
        <w:br w:type="page"/>
      </w:r>
      <w:r w:rsidRPr="00926394">
        <w:rPr>
          <w:rFonts w:cs="Arial"/>
        </w:rPr>
        <w:lastRenderedPageBreak/>
        <w:t>Graduation Rate</w:t>
      </w:r>
    </w:p>
    <w:p w:rsidR="00321F3B" w:rsidRDefault="00E7312E" w:rsidP="0088225B">
      <w:pPr>
        <w:pStyle w:val="Heading3"/>
        <w:rPr>
          <w:szCs w:val="24"/>
          <w:u w:val="single"/>
          <w:lang w:val="en"/>
        </w:rPr>
      </w:pPr>
      <w:r w:rsidRPr="0083448F">
        <w:rPr>
          <w:rFonts w:cs="Arial"/>
          <w:lang w:val="en"/>
        </w:rPr>
        <w:t>Combined 4- and 5-Year Graduation Rate</w:t>
      </w:r>
      <w:r w:rsidR="00321F3B" w:rsidRPr="0083448F">
        <w:rPr>
          <w:rFonts w:cs="Arial"/>
          <w:lang w:val="en"/>
        </w:rPr>
        <w:t xml:space="preserve"> </w:t>
      </w:r>
      <w:r w:rsidR="00FB25FD" w:rsidRPr="00E7312E">
        <w:rPr>
          <w:rFonts w:cs="Arial"/>
          <w:lang w:val="en"/>
        </w:rPr>
        <w:t>Measure</w:t>
      </w:r>
      <w:r w:rsidR="00FB25FD" w:rsidRPr="00926394">
        <w:rPr>
          <w:rFonts w:cs="Arial"/>
          <w:lang w:val="en"/>
        </w:rPr>
        <w:t xml:space="preserve"> Five-by-Five Colored Table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table graduation rate 4-5 year measure."/>
      </w:tblPr>
      <w:tblGrid>
        <w:gridCol w:w="1590"/>
        <w:gridCol w:w="1555"/>
        <w:gridCol w:w="1549"/>
        <w:gridCol w:w="1553"/>
        <w:gridCol w:w="1546"/>
        <w:gridCol w:w="1557"/>
      </w:tblGrid>
      <w:tr w:rsidR="0012090A" w:rsidRPr="00926394" w:rsidTr="0037161C">
        <w:trPr>
          <w:cantSplit/>
          <w:tblHeader/>
        </w:trPr>
        <w:tc>
          <w:tcPr>
            <w:tcW w:w="1590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Performance Level</w:t>
            </w:r>
          </w:p>
          <w:p w:rsidR="0012090A" w:rsidRPr="00926394" w:rsidRDefault="0012090A" w:rsidP="00CC6F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Declined Significantly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from Prior Year (by 5.1% or greater)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Declined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from Prior Year (by 1.0% to 5.0%)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9263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(declined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increased by less than 1.0%)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from Prior Year (by 1.0% to 4.9%)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Increased Significantly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from Prior Year (by 5.0% or greater)</w:t>
            </w:r>
          </w:p>
        </w:tc>
      </w:tr>
      <w:tr w:rsidR="0012090A" w:rsidRPr="00926394" w:rsidTr="00CC6FBC">
        <w:trPr>
          <w:trHeight w:val="1565"/>
        </w:trPr>
        <w:tc>
          <w:tcPr>
            <w:tcW w:w="1590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95.0% or greater in Current Year</w:t>
            </w:r>
          </w:p>
        </w:tc>
        <w:tc>
          <w:tcPr>
            <w:tcW w:w="1555" w:type="dxa"/>
            <w:shd w:val="clear" w:color="auto" w:fill="9F9F9F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1549" w:type="dxa"/>
            <w:shd w:val="clear" w:color="auto" w:fill="0000FF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3" w:type="dxa"/>
            <w:shd w:val="clear" w:color="auto" w:fill="0000FF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46" w:type="dxa"/>
            <w:shd w:val="clear" w:color="auto" w:fill="0000FF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12090A" w:rsidRPr="00926394" w:rsidTr="00CC6FBC">
        <w:trPr>
          <w:trHeight w:val="1790"/>
        </w:trPr>
        <w:tc>
          <w:tcPr>
            <w:tcW w:w="1590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90.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% to less than 95.0% in Current Year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3" w:type="dxa"/>
            <w:shd w:val="clear" w:color="auto" w:fill="006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12090A" w:rsidRPr="00926394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80.0% to less than 90.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% in Current Year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6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</w:tr>
      <w:tr w:rsidR="0012090A" w:rsidRPr="00926394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448F">
              <w:rPr>
                <w:rFonts w:ascii="Arial" w:eastAsia="Times New Roman" w:hAnsi="Arial" w:cs="Arial"/>
                <w:sz w:val="24"/>
                <w:szCs w:val="24"/>
              </w:rPr>
              <w:t>68.0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% to less than 80.0% in Current Year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shd w:val="clear" w:color="auto" w:fill="FFA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6" w:type="dxa"/>
            <w:shd w:val="clear" w:color="auto" w:fill="FFFF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  <w:tr w:rsidR="0012090A" w:rsidRPr="00926394" w:rsidTr="00CC6FBC">
        <w:trPr>
          <w:trHeight w:val="1583"/>
        </w:trPr>
        <w:tc>
          <w:tcPr>
            <w:tcW w:w="1590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 xml:space="preserve">Less than </w:t>
            </w:r>
            <w:r w:rsidRPr="0083448F">
              <w:rPr>
                <w:rFonts w:ascii="Arial" w:eastAsia="Times New Roman" w:hAnsi="Arial" w:cs="Arial"/>
                <w:sz w:val="24"/>
                <w:szCs w:val="24"/>
              </w:rPr>
              <w:t>68.0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% in Current Year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A200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3" w:type="dxa"/>
            <w:shd w:val="clear" w:color="auto" w:fill="A200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6" w:type="dxa"/>
            <w:shd w:val="clear" w:color="auto" w:fill="A200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7" w:type="dxa"/>
            <w:shd w:val="clear" w:color="auto" w:fill="A200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</w:tr>
    </w:tbl>
    <w:p w:rsidR="00321F3B" w:rsidRDefault="00321F3B">
      <w:pPr>
        <w:spacing w:after="0" w:line="240" w:lineRule="auto"/>
        <w:rPr>
          <w:rFonts w:ascii="Arial" w:eastAsiaTheme="majorEastAsia" w:hAnsi="Arial" w:cstheme="majorBidi"/>
          <w:b/>
          <w:bCs/>
          <w:iCs/>
          <w:sz w:val="24"/>
          <w:szCs w:val="24"/>
          <w:u w:val="single"/>
          <w:lang w:val="en"/>
        </w:rPr>
      </w:pPr>
      <w:r>
        <w:rPr>
          <w:sz w:val="24"/>
          <w:szCs w:val="24"/>
          <w:u w:val="single"/>
          <w:lang w:val="en"/>
        </w:rPr>
        <w:br w:type="page"/>
      </w:r>
    </w:p>
    <w:p w:rsidR="00321F3B" w:rsidRDefault="00321F3B" w:rsidP="0088225B">
      <w:pPr>
        <w:pStyle w:val="Heading3"/>
        <w:rPr>
          <w:lang w:val="en"/>
        </w:rPr>
      </w:pPr>
      <w:r>
        <w:rPr>
          <w:rFonts w:cs="Arial"/>
          <w:lang w:val="en"/>
        </w:rPr>
        <w:lastRenderedPageBreak/>
        <w:t xml:space="preserve">DASS </w:t>
      </w:r>
      <w:r w:rsidRPr="00926394">
        <w:rPr>
          <w:rFonts w:cs="Arial"/>
          <w:lang w:val="en"/>
        </w:rPr>
        <w:t xml:space="preserve">Graduation Rate Measure Five-by-Five Colored </w:t>
      </w:r>
      <w:r w:rsidRPr="00C92541">
        <w:rPr>
          <w:rFonts w:cs="Arial"/>
          <w:lang w:val="en"/>
        </w:rPr>
        <w:t>Table</w:t>
      </w:r>
      <w:r w:rsidRPr="00C92541">
        <w:rPr>
          <w:szCs w:val="24"/>
          <w:lang w:val="en"/>
        </w:rPr>
        <w:t xml:space="preserve"> </w:t>
      </w:r>
      <w:r w:rsidR="00C92541" w:rsidRPr="00C92541">
        <w:rPr>
          <w:szCs w:val="24"/>
          <w:lang w:val="en"/>
        </w:rPr>
        <w:t>for Grade 12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table graduation rate grade 12."/>
      </w:tblPr>
      <w:tblGrid>
        <w:gridCol w:w="1590"/>
        <w:gridCol w:w="1555"/>
        <w:gridCol w:w="1549"/>
        <w:gridCol w:w="1553"/>
        <w:gridCol w:w="1546"/>
        <w:gridCol w:w="1557"/>
      </w:tblGrid>
      <w:tr w:rsidR="0012090A" w:rsidRPr="00926394" w:rsidTr="0037161C">
        <w:trPr>
          <w:cantSplit/>
          <w:tblHeader/>
        </w:trPr>
        <w:tc>
          <w:tcPr>
            <w:tcW w:w="1590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Performance Level</w:t>
            </w:r>
          </w:p>
          <w:p w:rsidR="0012090A" w:rsidRPr="00926394" w:rsidRDefault="0012090A" w:rsidP="00CC6F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Declined Significantly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 xml:space="preserve">from Prior Year (by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more than 10.0%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Declined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 xml:space="preserve">from Prior Year (by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 xml:space="preserve">.0%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.0%)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9263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(declined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 xml:space="preserve">increased by less than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.0%)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 xml:space="preserve">from Prior Year (by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 xml:space="preserve">.0%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less than 10.0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%)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Increased Significantly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 xml:space="preserve">from Prior Year (by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.0% or greater)</w:t>
            </w:r>
          </w:p>
        </w:tc>
      </w:tr>
      <w:tr w:rsidR="0012090A" w:rsidRPr="00926394" w:rsidTr="00CC6FBC">
        <w:trPr>
          <w:trHeight w:val="1565"/>
        </w:trPr>
        <w:tc>
          <w:tcPr>
            <w:tcW w:w="1590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337400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% or greater in Current Year</w:t>
            </w:r>
          </w:p>
        </w:tc>
        <w:tc>
          <w:tcPr>
            <w:tcW w:w="1555" w:type="dxa"/>
            <w:shd w:val="clear" w:color="auto" w:fill="9F9F9F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1549" w:type="dxa"/>
            <w:shd w:val="clear" w:color="auto" w:fill="0000FF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3" w:type="dxa"/>
            <w:shd w:val="clear" w:color="auto" w:fill="0000FF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46" w:type="dxa"/>
            <w:shd w:val="clear" w:color="auto" w:fill="0000FF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12090A" w:rsidRPr="00926394" w:rsidTr="00CC6FBC">
        <w:trPr>
          <w:trHeight w:val="1790"/>
        </w:trPr>
        <w:tc>
          <w:tcPr>
            <w:tcW w:w="1590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0.0% to less than 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337400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% in Current Year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3" w:type="dxa"/>
            <w:shd w:val="clear" w:color="auto" w:fill="006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12090A" w:rsidRPr="00926394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 xml:space="preserve">0.0% to less than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0.0% in Current Year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6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</w:tr>
      <w:tr w:rsidR="0012090A" w:rsidRPr="00926394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448F">
              <w:rPr>
                <w:rFonts w:ascii="Arial" w:eastAsia="Times New Roman" w:hAnsi="Arial" w:cs="Arial"/>
                <w:sz w:val="24"/>
                <w:szCs w:val="24"/>
              </w:rPr>
              <w:t>68.0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 xml:space="preserve">% to less than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0.0% in Current Year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shd w:val="clear" w:color="auto" w:fill="FFA5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6" w:type="dxa"/>
            <w:shd w:val="clear" w:color="auto" w:fill="FFFF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  <w:tr w:rsidR="0012090A" w:rsidRPr="00926394" w:rsidTr="00CC6FBC">
        <w:trPr>
          <w:trHeight w:val="1583"/>
        </w:trPr>
        <w:tc>
          <w:tcPr>
            <w:tcW w:w="1590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 xml:space="preserve">Less than </w:t>
            </w:r>
            <w:r w:rsidRPr="0083448F">
              <w:rPr>
                <w:rFonts w:ascii="Arial" w:eastAsia="Times New Roman" w:hAnsi="Arial" w:cs="Arial"/>
                <w:sz w:val="24"/>
                <w:szCs w:val="24"/>
              </w:rPr>
              <w:t>68.0</w:t>
            </w: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% in Current Year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A200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3" w:type="dxa"/>
            <w:shd w:val="clear" w:color="auto" w:fill="A200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6" w:type="dxa"/>
            <w:shd w:val="clear" w:color="auto" w:fill="A200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7" w:type="dxa"/>
            <w:shd w:val="clear" w:color="auto" w:fill="A20000"/>
            <w:vAlign w:val="center"/>
          </w:tcPr>
          <w:p w:rsidR="0012090A" w:rsidRPr="00926394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394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</w:tr>
    </w:tbl>
    <w:p w:rsidR="00FB25FD" w:rsidRPr="006879C9" w:rsidRDefault="00FB25FD" w:rsidP="0083448F">
      <w:pPr>
        <w:pStyle w:val="Heading2"/>
        <w:rPr>
          <w:szCs w:val="24"/>
          <w:u w:val="single"/>
          <w:lang w:val="en"/>
        </w:rPr>
      </w:pPr>
      <w:r>
        <w:rPr>
          <w:szCs w:val="24"/>
          <w:u w:val="single"/>
          <w:lang w:val="en"/>
        </w:rPr>
        <w:br w:type="page"/>
      </w:r>
      <w:r>
        <w:rPr>
          <w:lang w:val="en"/>
        </w:rPr>
        <w:lastRenderedPageBreak/>
        <w:t>Academic Indicator</w:t>
      </w:r>
    </w:p>
    <w:p w:rsidR="00FB25FD" w:rsidRDefault="00FB25FD" w:rsidP="00FB25FD">
      <w:pPr>
        <w:pStyle w:val="Heading3"/>
      </w:pPr>
      <w:r w:rsidRPr="007B1463">
        <w:t xml:space="preserve">English Language Arts/Literacy Academic </w:t>
      </w:r>
      <w:r>
        <w:t>Measure</w:t>
      </w:r>
      <w:r w:rsidRPr="007B1463">
        <w:t xml:space="preserve"> Five-by-Five Colored Table</w:t>
      </w:r>
      <w:r>
        <w:t xml:space="preserve"> for Grades 3–8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table english language arts/literacy academic measure."/>
      </w:tblPr>
      <w:tblGrid>
        <w:gridCol w:w="1590"/>
        <w:gridCol w:w="1555"/>
        <w:gridCol w:w="1549"/>
        <w:gridCol w:w="1553"/>
        <w:gridCol w:w="1546"/>
        <w:gridCol w:w="1557"/>
      </w:tblGrid>
      <w:tr w:rsidR="0012090A" w:rsidRPr="00FB25FD" w:rsidTr="0037161C">
        <w:trPr>
          <w:cantSplit/>
          <w:tblHeader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Performance Level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 Significantly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more than 15 points)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3 to 15 points)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(declined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by less than 3 points or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by less than 3 points)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3 to less than 15 points)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Significantly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15 points or more)</w:t>
            </w:r>
          </w:p>
        </w:tc>
      </w:tr>
      <w:tr w:rsidR="0012090A" w:rsidRPr="00FB25FD" w:rsidTr="00CC6FBC">
        <w:trPr>
          <w:trHeight w:val="1565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+45 points or higher in Current Year</w:t>
            </w:r>
          </w:p>
        </w:tc>
        <w:tc>
          <w:tcPr>
            <w:tcW w:w="1555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46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12090A" w:rsidRPr="00FB25FD" w:rsidTr="00CC6FBC">
        <w:trPr>
          <w:trHeight w:val="1790"/>
        </w:trPr>
        <w:tc>
          <w:tcPr>
            <w:tcW w:w="1590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+10 to +44.9 points in Current Year</w:t>
            </w:r>
          </w:p>
        </w:tc>
        <w:tc>
          <w:tcPr>
            <w:tcW w:w="1555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12090A" w:rsidRPr="00FB25FD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-5 points to +9.9 points in Current Year</w:t>
            </w:r>
          </w:p>
        </w:tc>
        <w:tc>
          <w:tcPr>
            <w:tcW w:w="1555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</w:tr>
      <w:tr w:rsidR="0012090A" w:rsidRPr="00FB25FD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-5.1 to -70 points in Current Year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6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  <w:tr w:rsidR="0012090A" w:rsidRPr="00FB25FD" w:rsidTr="00CC6FBC">
        <w:trPr>
          <w:trHeight w:val="1583"/>
        </w:trPr>
        <w:tc>
          <w:tcPr>
            <w:tcW w:w="1590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-70.1 points or lower in Current Year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3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6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7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</w:tr>
    </w:tbl>
    <w:p w:rsidR="006A3C22" w:rsidRDefault="006A3C22">
      <w:pPr>
        <w:spacing w:after="0" w:line="240" w:lineRule="auto"/>
        <w:rPr>
          <w:rFonts w:ascii="Arial" w:eastAsiaTheme="majorEastAsia" w:hAnsi="Arial" w:cstheme="majorBidi"/>
          <w:b/>
          <w:bCs/>
          <w:sz w:val="24"/>
          <w:szCs w:val="26"/>
          <w:lang w:val="en"/>
        </w:rPr>
      </w:pPr>
      <w:r>
        <w:rPr>
          <w:lang w:val="en"/>
        </w:rPr>
        <w:br w:type="page"/>
      </w:r>
    </w:p>
    <w:p w:rsidR="00F07A87" w:rsidRDefault="006A3C22" w:rsidP="0088225B">
      <w:pPr>
        <w:pStyle w:val="Heading3"/>
      </w:pPr>
      <w:r w:rsidRPr="0083448F">
        <w:lastRenderedPageBreak/>
        <w:t>DASS Schools: English Language Arts/Literacy Academic Measure Five-by-Five Colored Table for Grades 3–8</w:t>
      </w:r>
      <w:r w:rsidR="006605A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table academic measure grades 3-8."/>
      </w:tblPr>
      <w:tblGrid>
        <w:gridCol w:w="1590"/>
        <w:gridCol w:w="1555"/>
        <w:gridCol w:w="1549"/>
        <w:gridCol w:w="1553"/>
        <w:gridCol w:w="1546"/>
        <w:gridCol w:w="1557"/>
      </w:tblGrid>
      <w:tr w:rsidR="0012090A" w:rsidRPr="00FB25FD" w:rsidTr="0037161C">
        <w:trPr>
          <w:cantSplit/>
          <w:tblHeader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Performance Level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 Significantly</w:t>
            </w:r>
          </w:p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more than 15 points)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</w:t>
            </w:r>
          </w:p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3 to 15 points)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(declined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by less than 3 points or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by less than 3 points)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3 to less than 15 points)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Significantly</w:t>
            </w:r>
          </w:p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15 points or more)</w:t>
            </w:r>
          </w:p>
        </w:tc>
      </w:tr>
      <w:tr w:rsidR="0012090A" w:rsidRPr="00FB25FD" w:rsidTr="00CC6FBC">
        <w:trPr>
          <w:trHeight w:val="1565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+45 points or higher in Current Year</w:t>
            </w:r>
          </w:p>
        </w:tc>
        <w:tc>
          <w:tcPr>
            <w:tcW w:w="1555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46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12090A" w:rsidRPr="00FB25FD" w:rsidTr="00CC6FBC">
        <w:trPr>
          <w:trHeight w:val="1790"/>
        </w:trPr>
        <w:tc>
          <w:tcPr>
            <w:tcW w:w="1590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+10 to +44.9 points in Current Year</w:t>
            </w:r>
          </w:p>
        </w:tc>
        <w:tc>
          <w:tcPr>
            <w:tcW w:w="1555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12090A" w:rsidRPr="00FB25FD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-5 points to +9.9 points in Current Year</w:t>
            </w:r>
          </w:p>
        </w:tc>
        <w:tc>
          <w:tcPr>
            <w:tcW w:w="1555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</w:tr>
      <w:tr w:rsidR="0012090A" w:rsidRPr="00FB25FD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-5.1 to </w:t>
            </w:r>
            <w:r w:rsidRPr="0083448F">
              <w:rPr>
                <w:rFonts w:ascii="Arial" w:eastAsia="Times New Roman" w:hAnsi="Arial" w:cs="Arial"/>
                <w:sz w:val="24"/>
                <w:szCs w:val="24"/>
              </w:rPr>
              <w:t>-125.0</w:t>
            </w:r>
            <w:r w:rsidRPr="00F5112B">
              <w:rPr>
                <w:rFonts w:cs="Arial"/>
                <w:color w:val="000000"/>
                <w:kern w:val="24"/>
              </w:rPr>
              <w:t xml:space="preserve">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points in Current Year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6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  <w:tr w:rsidR="0012090A" w:rsidRPr="00FB25FD" w:rsidTr="00CC6FBC">
        <w:trPr>
          <w:trHeight w:val="1583"/>
        </w:trPr>
        <w:tc>
          <w:tcPr>
            <w:tcW w:w="1590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83448F">
              <w:rPr>
                <w:rFonts w:ascii="Arial" w:eastAsia="Times New Roman" w:hAnsi="Arial" w:cs="Arial"/>
                <w:sz w:val="24"/>
                <w:szCs w:val="24"/>
              </w:rPr>
              <w:t>125.1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 points or lower in Current Year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3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6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7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</w:tr>
    </w:tbl>
    <w:p w:rsidR="00FB25FD" w:rsidRDefault="00FB25FD" w:rsidP="00FB25FD">
      <w:pPr>
        <w:pStyle w:val="Heading3"/>
      </w:pPr>
      <w:r>
        <w:rPr>
          <w:lang w:val="en"/>
        </w:rPr>
        <w:br w:type="page"/>
      </w:r>
      <w:r w:rsidRPr="007B1463">
        <w:lastRenderedPageBreak/>
        <w:t xml:space="preserve">English Language Arts/Literacy Academic </w:t>
      </w:r>
      <w:r>
        <w:t>Measure</w:t>
      </w:r>
      <w:r w:rsidRPr="007B1463">
        <w:t xml:space="preserve"> Five-by-Five Colored Table</w:t>
      </w:r>
      <w:r>
        <w:t xml:space="preserve"> for Grade 11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table academic measures grade 11."/>
      </w:tblPr>
      <w:tblGrid>
        <w:gridCol w:w="1590"/>
        <w:gridCol w:w="1555"/>
        <w:gridCol w:w="1549"/>
        <w:gridCol w:w="1553"/>
        <w:gridCol w:w="1546"/>
        <w:gridCol w:w="1557"/>
      </w:tblGrid>
      <w:tr w:rsidR="0012090A" w:rsidRPr="00FB25FD" w:rsidTr="0037161C">
        <w:trPr>
          <w:cantSplit/>
          <w:tblHeader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Performance Level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 Significantly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more than 15.1 points)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3 to 15 points)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(declined or increased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y 2.9 points or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less)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3 to less than 14.9 points)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Significantly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15 points or more)</w:t>
            </w:r>
          </w:p>
        </w:tc>
      </w:tr>
      <w:tr w:rsidR="0012090A" w:rsidRPr="00FB25FD" w:rsidTr="00CC6FBC">
        <w:trPr>
          <w:trHeight w:val="1565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+75 points or higher in Current Year</w:t>
            </w:r>
          </w:p>
        </w:tc>
        <w:tc>
          <w:tcPr>
            <w:tcW w:w="1555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46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12090A" w:rsidRPr="00FB25FD" w:rsidTr="00CC6FBC">
        <w:trPr>
          <w:trHeight w:val="1790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+30 to +74.9 points in Current Year</w:t>
            </w:r>
          </w:p>
        </w:tc>
        <w:tc>
          <w:tcPr>
            <w:tcW w:w="1555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12090A" w:rsidRPr="00FB25FD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12090A" w:rsidRPr="00FB25FD" w:rsidRDefault="00BB315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</w:t>
            </w:r>
            <w:r w:rsidR="0012090A"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 to +29.9 points in Current Year</w:t>
            </w:r>
          </w:p>
        </w:tc>
        <w:tc>
          <w:tcPr>
            <w:tcW w:w="1555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</w:tr>
      <w:tr w:rsidR="0012090A" w:rsidRPr="00FB25FD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BB3154">
              <w:rPr>
                <w:rFonts w:ascii="Arial" w:eastAsia="Times New Roman" w:hAnsi="Arial" w:cs="Arial"/>
                <w:sz w:val="24"/>
                <w:szCs w:val="24"/>
              </w:rPr>
              <w:t>0.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1 to -45 points in Current Year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6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  <w:tr w:rsidR="0012090A" w:rsidRPr="00FB25FD" w:rsidTr="00CC6FBC">
        <w:trPr>
          <w:trHeight w:val="1583"/>
        </w:trPr>
        <w:tc>
          <w:tcPr>
            <w:tcW w:w="1590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-45.1 points or lower in Current Year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3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6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7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</w:tr>
    </w:tbl>
    <w:p w:rsidR="006A3C22" w:rsidRDefault="006A3C22">
      <w:pPr>
        <w:spacing w:after="0" w:line="240" w:lineRule="auto"/>
        <w:rPr>
          <w:rFonts w:ascii="Arial" w:eastAsiaTheme="majorEastAsia" w:hAnsi="Arial" w:cstheme="majorBidi"/>
          <w:b/>
          <w:bCs/>
          <w:sz w:val="24"/>
          <w:szCs w:val="26"/>
          <w:lang w:val="en"/>
        </w:rPr>
      </w:pPr>
      <w:r>
        <w:rPr>
          <w:lang w:val="en"/>
        </w:rPr>
        <w:br w:type="page"/>
      </w:r>
    </w:p>
    <w:p w:rsidR="006605AA" w:rsidRPr="006605AA" w:rsidRDefault="006A3C22" w:rsidP="006605AA">
      <w:pPr>
        <w:pStyle w:val="Heading3"/>
        <w:rPr>
          <w:color w:val="C00000"/>
        </w:rPr>
      </w:pPr>
      <w:r w:rsidRPr="0083448F">
        <w:lastRenderedPageBreak/>
        <w:t>DASS Schools English Language Arts/Literacy Academic Measure Five-by-Five Colored Table for Grade 11</w:t>
      </w:r>
      <w:r w:rsidR="006605AA">
        <w:t xml:space="preserve"> </w:t>
      </w:r>
    </w:p>
    <w:p w:rsidR="006605AA" w:rsidRPr="006605AA" w:rsidRDefault="006605AA" w:rsidP="006605AA">
      <w:pPr>
        <w:widowControl w:val="0"/>
        <w:spacing w:after="0" w:line="240" w:lineRule="auto"/>
        <w:rPr>
          <w:rFonts w:ascii="Arial" w:eastAsiaTheme="minorHAnsi" w:hAnsi="Arial" w:cstheme="minorBidi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table english language academic grade 11."/>
      </w:tblPr>
      <w:tblGrid>
        <w:gridCol w:w="1590"/>
        <w:gridCol w:w="1555"/>
        <w:gridCol w:w="1549"/>
        <w:gridCol w:w="1553"/>
        <w:gridCol w:w="1546"/>
        <w:gridCol w:w="1557"/>
      </w:tblGrid>
      <w:tr w:rsidR="0012090A" w:rsidRPr="00FB25FD" w:rsidTr="0037161C">
        <w:trPr>
          <w:cantSplit/>
          <w:tblHeader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Performance Level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 Significantly</w:t>
            </w:r>
          </w:p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more than 15.1 points)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</w:t>
            </w:r>
          </w:p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3 to 15 points)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(declined or increased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y 2.9 points or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less)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3 to less than 14.9 points)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Significantly</w:t>
            </w:r>
          </w:p>
          <w:p w:rsidR="0012090A" w:rsidRPr="00FB25FD" w:rsidRDefault="0012090A" w:rsidP="00CC6FB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15 points or more)</w:t>
            </w:r>
          </w:p>
        </w:tc>
      </w:tr>
      <w:tr w:rsidR="0012090A" w:rsidRPr="00FB25FD" w:rsidTr="00BB3154">
        <w:trPr>
          <w:trHeight w:val="1565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+75 points or higher in Current Year</w:t>
            </w:r>
          </w:p>
        </w:tc>
        <w:tc>
          <w:tcPr>
            <w:tcW w:w="1555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46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12090A" w:rsidRPr="00FB25FD" w:rsidTr="00BB3154">
        <w:trPr>
          <w:trHeight w:val="1790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+30 to +74.9 points in Current Year</w:t>
            </w:r>
          </w:p>
        </w:tc>
        <w:tc>
          <w:tcPr>
            <w:tcW w:w="1555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12090A" w:rsidRPr="00FB25FD" w:rsidTr="00BB3154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12090A" w:rsidRPr="00FB25FD" w:rsidRDefault="00BB315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</w:t>
            </w:r>
            <w:r w:rsidR="0012090A"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 to +29.9 points in Current Year</w:t>
            </w:r>
          </w:p>
        </w:tc>
        <w:tc>
          <w:tcPr>
            <w:tcW w:w="1555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</w:tr>
      <w:tr w:rsidR="0012090A" w:rsidRPr="00FB25FD" w:rsidTr="00BB3154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BB3154">
              <w:rPr>
                <w:rFonts w:ascii="Arial" w:eastAsia="Times New Roman" w:hAnsi="Arial" w:cs="Arial"/>
                <w:sz w:val="24"/>
                <w:szCs w:val="24"/>
              </w:rPr>
              <w:t>0.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Pr="0083448F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="00BB315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3448F">
              <w:rPr>
                <w:rFonts w:ascii="Arial" w:eastAsia="Times New Roman" w:hAnsi="Arial" w:cs="Arial"/>
                <w:sz w:val="24"/>
                <w:szCs w:val="24"/>
              </w:rPr>
              <w:t>-110.0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 points in Current Year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6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  <w:tr w:rsidR="0012090A" w:rsidRPr="00FB25FD" w:rsidTr="00BB3154">
        <w:trPr>
          <w:trHeight w:val="1583"/>
        </w:trPr>
        <w:tc>
          <w:tcPr>
            <w:tcW w:w="1590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448F">
              <w:rPr>
                <w:rFonts w:ascii="Arial" w:eastAsia="Times New Roman" w:hAnsi="Arial" w:cs="Arial"/>
                <w:sz w:val="24"/>
                <w:szCs w:val="24"/>
              </w:rPr>
              <w:t>-110.1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 points or lower in Current Year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3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6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7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</w:tr>
    </w:tbl>
    <w:p w:rsidR="00FB25FD" w:rsidRPr="007B1463" w:rsidRDefault="00FB25FD" w:rsidP="00FB25FD">
      <w:pPr>
        <w:pStyle w:val="Heading3"/>
      </w:pPr>
      <w:r>
        <w:rPr>
          <w:lang w:val="en"/>
        </w:rPr>
        <w:br w:type="page"/>
      </w:r>
    </w:p>
    <w:p w:rsidR="00FB25FD" w:rsidRDefault="00FB25FD" w:rsidP="00926394">
      <w:pPr>
        <w:pStyle w:val="Heading3"/>
      </w:pPr>
      <w:r w:rsidRPr="007B1463">
        <w:lastRenderedPageBreak/>
        <w:t>Mathematics Academic Indicator Five-by-Five Colored Table</w:t>
      </w:r>
      <w:r>
        <w:t xml:space="preserve"> for Grades 3–8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table math academic grades 3-8."/>
      </w:tblPr>
      <w:tblGrid>
        <w:gridCol w:w="1590"/>
        <w:gridCol w:w="1555"/>
        <w:gridCol w:w="1549"/>
        <w:gridCol w:w="1553"/>
        <w:gridCol w:w="1546"/>
        <w:gridCol w:w="1557"/>
      </w:tblGrid>
      <w:tr w:rsidR="0012090A" w:rsidRPr="00FB25FD" w:rsidTr="0037161C">
        <w:trPr>
          <w:cantSplit/>
          <w:tblHeader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Performance Level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 Significantly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more than 15 points)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3 to 15 points)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(declined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by les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 than 3 points or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by less than 3 points)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3 to less than 15 points)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Significantly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15 points or more)</w:t>
            </w:r>
          </w:p>
        </w:tc>
      </w:tr>
      <w:tr w:rsidR="0012090A" w:rsidRPr="00FB25FD" w:rsidTr="00CC6FBC">
        <w:trPr>
          <w:trHeight w:val="1565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+35 points or higher in Current Year</w:t>
            </w:r>
          </w:p>
        </w:tc>
        <w:tc>
          <w:tcPr>
            <w:tcW w:w="1555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46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12090A" w:rsidRPr="00FB25FD" w:rsidTr="00CC6FBC">
        <w:trPr>
          <w:trHeight w:val="1790"/>
        </w:trPr>
        <w:tc>
          <w:tcPr>
            <w:tcW w:w="1590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0 to +34.9 points in Current Year</w:t>
            </w:r>
          </w:p>
        </w:tc>
        <w:tc>
          <w:tcPr>
            <w:tcW w:w="1555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12090A" w:rsidRPr="00FB25FD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-25 points to less than 0 points in Current Year</w:t>
            </w:r>
          </w:p>
        </w:tc>
        <w:tc>
          <w:tcPr>
            <w:tcW w:w="1555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</w:tr>
      <w:tr w:rsidR="0012090A" w:rsidRPr="00FB25FD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-25.1 to -95 points in Current Year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3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46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  <w:tr w:rsidR="0012090A" w:rsidRPr="00FB25FD" w:rsidTr="00CC6FBC">
        <w:trPr>
          <w:trHeight w:val="1583"/>
        </w:trPr>
        <w:tc>
          <w:tcPr>
            <w:tcW w:w="1590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-95.1 points or lower in Current Year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53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46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57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</w:tr>
    </w:tbl>
    <w:p w:rsidR="006A3C22" w:rsidRDefault="006A3C22">
      <w:pPr>
        <w:spacing w:after="0" w:line="240" w:lineRule="auto"/>
        <w:rPr>
          <w:rFonts w:ascii="Arial" w:eastAsiaTheme="majorEastAsia" w:hAnsi="Arial" w:cstheme="majorBidi"/>
          <w:b/>
          <w:bCs/>
          <w:sz w:val="24"/>
          <w:szCs w:val="26"/>
        </w:rPr>
      </w:pPr>
      <w:r>
        <w:br w:type="page"/>
      </w:r>
    </w:p>
    <w:p w:rsidR="00074195" w:rsidRPr="00074195" w:rsidRDefault="006A3C22" w:rsidP="0088225B">
      <w:pPr>
        <w:pStyle w:val="Heading3"/>
        <w:rPr>
          <w:rFonts w:eastAsiaTheme="minorHAnsi" w:cs="Arial"/>
          <w:b w:val="0"/>
        </w:rPr>
      </w:pPr>
      <w:r w:rsidRPr="0083448F">
        <w:lastRenderedPageBreak/>
        <w:t>DASS Schools Mathematics Academic Indicator Five-by-Five Colored Table for Grades 3–8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table for DASS Mathematics for grades 3-8."/>
      </w:tblPr>
      <w:tblGrid>
        <w:gridCol w:w="1685"/>
        <w:gridCol w:w="1643"/>
        <w:gridCol w:w="1406"/>
        <w:gridCol w:w="1517"/>
        <w:gridCol w:w="1456"/>
        <w:gridCol w:w="1643"/>
      </w:tblGrid>
      <w:tr w:rsidR="0012090A" w:rsidRPr="00074195" w:rsidTr="0037161C">
        <w:trPr>
          <w:cantSplit/>
          <w:tblHeader/>
        </w:trPr>
        <w:tc>
          <w:tcPr>
            <w:tcW w:w="1590" w:type="dxa"/>
            <w:shd w:val="clear" w:color="auto" w:fill="auto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Performance Levels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Declined Significantly</w:t>
            </w:r>
          </w:p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sz w:val="24"/>
                <w:szCs w:val="24"/>
              </w:rPr>
              <w:t>from Prior Year (by more than 15 points)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Declined</w:t>
            </w:r>
          </w:p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sz w:val="24"/>
                <w:szCs w:val="24"/>
              </w:rPr>
              <w:t>from Prior Year (by 3 to 15 points)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Maintained</w:t>
            </w:r>
          </w:p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sz w:val="24"/>
                <w:szCs w:val="24"/>
              </w:rPr>
              <w:t>from Prior Year (declined by less than 3 points or increased by less than 3 points)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Increased</w:t>
            </w:r>
          </w:p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sz w:val="24"/>
                <w:szCs w:val="24"/>
              </w:rPr>
              <w:t>from Prior Year (by 3 to less than 15 points)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Increased Significantly</w:t>
            </w:r>
          </w:p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sz w:val="24"/>
                <w:szCs w:val="24"/>
              </w:rPr>
              <w:t>from Prior Year (by 15 points or more)</w:t>
            </w:r>
          </w:p>
        </w:tc>
      </w:tr>
      <w:tr w:rsidR="0012090A" w:rsidRPr="00074195" w:rsidTr="00CC6FBC">
        <w:trPr>
          <w:trHeight w:val="1565"/>
        </w:trPr>
        <w:tc>
          <w:tcPr>
            <w:tcW w:w="1590" w:type="dxa"/>
            <w:shd w:val="clear" w:color="auto" w:fill="auto"/>
            <w:vAlign w:val="center"/>
          </w:tcPr>
          <w:p w:rsidR="0012090A" w:rsidRPr="00A43DDB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3DDB"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12090A" w:rsidRPr="00A43DDB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3DDB">
              <w:rPr>
                <w:rFonts w:ascii="Arial" w:eastAsia="Times New Roman" w:hAnsi="Arial" w:cs="Arial"/>
                <w:sz w:val="24"/>
                <w:szCs w:val="24"/>
              </w:rPr>
              <w:t>35 points or higher in Current Year</w:t>
            </w:r>
          </w:p>
        </w:tc>
        <w:tc>
          <w:tcPr>
            <w:tcW w:w="1555" w:type="dxa"/>
            <w:shd w:val="clear" w:color="auto" w:fill="0065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Green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00FF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46" w:type="dxa"/>
            <w:shd w:val="clear" w:color="auto" w:fill="0000FF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Blue</w:t>
            </w:r>
          </w:p>
        </w:tc>
      </w:tr>
      <w:tr w:rsidR="0012090A" w:rsidRPr="00074195" w:rsidTr="00CC6FBC">
        <w:trPr>
          <w:trHeight w:val="1790"/>
        </w:trPr>
        <w:tc>
          <w:tcPr>
            <w:tcW w:w="1590" w:type="dxa"/>
            <w:shd w:val="clear" w:color="auto" w:fill="auto"/>
            <w:vAlign w:val="center"/>
          </w:tcPr>
          <w:p w:rsidR="0012090A" w:rsidRPr="00A43DDB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3DDB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:rsidR="0012090A" w:rsidRPr="00A43DDB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3DDB">
              <w:rPr>
                <w:rFonts w:ascii="Arial" w:eastAsia="Times New Roman" w:hAnsi="Arial" w:cs="Arial"/>
                <w:sz w:val="24"/>
                <w:szCs w:val="24"/>
              </w:rPr>
              <w:t>0 to 34.9 points in Current Year</w:t>
            </w:r>
          </w:p>
        </w:tc>
        <w:tc>
          <w:tcPr>
            <w:tcW w:w="1555" w:type="dxa"/>
            <w:shd w:val="clear" w:color="auto" w:fill="0065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Green</w:t>
            </w:r>
          </w:p>
        </w:tc>
        <w:tc>
          <w:tcPr>
            <w:tcW w:w="1549" w:type="dxa"/>
            <w:shd w:val="clear" w:color="auto" w:fill="0065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Green</w:t>
            </w:r>
          </w:p>
        </w:tc>
        <w:tc>
          <w:tcPr>
            <w:tcW w:w="1553" w:type="dxa"/>
            <w:shd w:val="clear" w:color="auto" w:fill="0065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00FF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12090A" w:rsidRPr="00074195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A43DDB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3DDB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12090A" w:rsidRPr="00A43DDB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3DDB">
              <w:rPr>
                <w:rFonts w:ascii="Arial" w:eastAsia="Times New Roman" w:hAnsi="Arial" w:cs="Arial"/>
                <w:sz w:val="24"/>
                <w:szCs w:val="24"/>
              </w:rPr>
              <w:t>-25 points to less than 0 points in Current Year</w:t>
            </w:r>
          </w:p>
        </w:tc>
        <w:tc>
          <w:tcPr>
            <w:tcW w:w="1555" w:type="dxa"/>
            <w:shd w:val="clear" w:color="auto" w:fill="FFFF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Yellow</w:t>
            </w:r>
          </w:p>
        </w:tc>
        <w:tc>
          <w:tcPr>
            <w:tcW w:w="1549" w:type="dxa"/>
            <w:shd w:val="clear" w:color="auto" w:fill="FFFF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Yellow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Yellow</w:t>
            </w:r>
          </w:p>
        </w:tc>
        <w:tc>
          <w:tcPr>
            <w:tcW w:w="1546" w:type="dxa"/>
            <w:shd w:val="clear" w:color="auto" w:fill="0065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7" w:type="dxa"/>
            <w:shd w:val="clear" w:color="auto" w:fill="0065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Green</w:t>
            </w:r>
          </w:p>
        </w:tc>
      </w:tr>
      <w:tr w:rsidR="0012090A" w:rsidRPr="00074195" w:rsidTr="00CC6FBC">
        <w:trPr>
          <w:trHeight w:val="1610"/>
        </w:trPr>
        <w:tc>
          <w:tcPr>
            <w:tcW w:w="1590" w:type="dxa"/>
            <w:shd w:val="clear" w:color="auto" w:fill="auto"/>
            <w:vAlign w:val="center"/>
          </w:tcPr>
          <w:p w:rsidR="0012090A" w:rsidRPr="00A43DDB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3DDB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12090A" w:rsidRPr="00A43DDB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3DDB">
              <w:rPr>
                <w:rFonts w:ascii="Arial" w:eastAsia="Times New Roman" w:hAnsi="Arial" w:cs="Arial"/>
                <w:sz w:val="24"/>
                <w:szCs w:val="24"/>
              </w:rPr>
              <w:t xml:space="preserve">-25.1 to </w:t>
            </w:r>
            <w:r w:rsidRPr="0083448F">
              <w:rPr>
                <w:rFonts w:ascii="Arial" w:eastAsia="Times New Roman" w:hAnsi="Arial" w:cs="Arial"/>
                <w:sz w:val="24"/>
                <w:szCs w:val="24"/>
              </w:rPr>
              <w:t>-175.0</w:t>
            </w:r>
            <w:r w:rsidRPr="00A43DDB">
              <w:rPr>
                <w:rFonts w:ascii="Arial" w:eastAsia="Times New Roman" w:hAnsi="Arial" w:cs="Arial"/>
                <w:sz w:val="24"/>
                <w:szCs w:val="24"/>
              </w:rPr>
              <w:t xml:space="preserve"> points in Current Year</w:t>
            </w:r>
          </w:p>
        </w:tc>
        <w:tc>
          <w:tcPr>
            <w:tcW w:w="1555" w:type="dxa"/>
            <w:shd w:val="clear" w:color="auto" w:fill="FFA5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Orange</w:t>
            </w:r>
          </w:p>
        </w:tc>
        <w:tc>
          <w:tcPr>
            <w:tcW w:w="1549" w:type="dxa"/>
            <w:shd w:val="clear" w:color="auto" w:fill="FFA5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Orange</w:t>
            </w:r>
          </w:p>
        </w:tc>
        <w:tc>
          <w:tcPr>
            <w:tcW w:w="1553" w:type="dxa"/>
            <w:shd w:val="clear" w:color="auto" w:fill="FFA5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Orange</w:t>
            </w:r>
          </w:p>
        </w:tc>
        <w:tc>
          <w:tcPr>
            <w:tcW w:w="1546" w:type="dxa"/>
            <w:shd w:val="clear" w:color="auto" w:fill="FFFF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Yellow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Yellow</w:t>
            </w:r>
          </w:p>
        </w:tc>
      </w:tr>
      <w:tr w:rsidR="0012090A" w:rsidRPr="00074195" w:rsidTr="00CC6FBC">
        <w:trPr>
          <w:trHeight w:val="1583"/>
        </w:trPr>
        <w:tc>
          <w:tcPr>
            <w:tcW w:w="1590" w:type="dxa"/>
            <w:shd w:val="clear" w:color="auto" w:fill="auto"/>
            <w:vAlign w:val="center"/>
          </w:tcPr>
          <w:p w:rsidR="0012090A" w:rsidRPr="00A43DDB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3DDB"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12090A" w:rsidRPr="00A43DDB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448F">
              <w:rPr>
                <w:rFonts w:ascii="Arial" w:eastAsia="Times New Roman" w:hAnsi="Arial" w:cs="Arial"/>
                <w:sz w:val="24"/>
                <w:szCs w:val="24"/>
              </w:rPr>
              <w:t>-175.1</w:t>
            </w:r>
            <w:r w:rsidRPr="00A43DDB">
              <w:rPr>
                <w:rFonts w:ascii="Arial" w:eastAsia="Times New Roman" w:hAnsi="Arial" w:cs="Arial"/>
                <w:sz w:val="24"/>
                <w:szCs w:val="24"/>
              </w:rPr>
              <w:t xml:space="preserve"> points or lower in Current Year</w:t>
            </w:r>
          </w:p>
        </w:tc>
        <w:tc>
          <w:tcPr>
            <w:tcW w:w="1555" w:type="dxa"/>
            <w:shd w:val="clear" w:color="auto" w:fill="A200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Red</w:t>
            </w:r>
          </w:p>
        </w:tc>
        <w:tc>
          <w:tcPr>
            <w:tcW w:w="1549" w:type="dxa"/>
            <w:shd w:val="clear" w:color="auto" w:fill="A200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Red</w:t>
            </w:r>
          </w:p>
        </w:tc>
        <w:tc>
          <w:tcPr>
            <w:tcW w:w="1553" w:type="dxa"/>
            <w:shd w:val="clear" w:color="auto" w:fill="A200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Red</w:t>
            </w:r>
          </w:p>
        </w:tc>
        <w:tc>
          <w:tcPr>
            <w:tcW w:w="1546" w:type="dxa"/>
            <w:shd w:val="clear" w:color="auto" w:fill="FFA5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Orange</w:t>
            </w:r>
          </w:p>
        </w:tc>
        <w:tc>
          <w:tcPr>
            <w:tcW w:w="1557" w:type="dxa"/>
            <w:shd w:val="clear" w:color="auto" w:fill="FFA500"/>
            <w:vAlign w:val="center"/>
          </w:tcPr>
          <w:p w:rsidR="0012090A" w:rsidRPr="00074195" w:rsidRDefault="0012090A" w:rsidP="00CC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4195">
              <w:rPr>
                <w:rFonts w:ascii="Arial" w:eastAsia="Times New Roman" w:hAnsi="Arial" w:cs="Arial"/>
                <w:b/>
                <w:sz w:val="24"/>
                <w:szCs w:val="24"/>
              </w:rPr>
              <w:t>Orange</w:t>
            </w:r>
          </w:p>
        </w:tc>
      </w:tr>
    </w:tbl>
    <w:p w:rsidR="00FB25FD" w:rsidRPr="007B1463" w:rsidRDefault="00FB25FD" w:rsidP="00FB25FD">
      <w:pPr>
        <w:pStyle w:val="Heading3"/>
      </w:pPr>
      <w:r>
        <w:br w:type="page"/>
      </w:r>
    </w:p>
    <w:p w:rsidR="00FB25FD" w:rsidRDefault="00FB25FD" w:rsidP="00FB25FD">
      <w:pPr>
        <w:pStyle w:val="Heading3"/>
      </w:pPr>
      <w:r w:rsidRPr="007B1463">
        <w:lastRenderedPageBreak/>
        <w:t>Mathematics Academic Indicator Five-by-Five Colored Table</w:t>
      </w:r>
      <w:r>
        <w:t xml:space="preserve"> for Grade 11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math academic grade 11."/>
      </w:tblPr>
      <w:tblGrid>
        <w:gridCol w:w="1685"/>
        <w:gridCol w:w="1643"/>
        <w:gridCol w:w="1406"/>
        <w:gridCol w:w="1517"/>
        <w:gridCol w:w="1456"/>
        <w:gridCol w:w="1643"/>
      </w:tblGrid>
      <w:tr w:rsidR="0012090A" w:rsidRPr="00FB25FD" w:rsidTr="0037161C">
        <w:trPr>
          <w:cantSplit/>
          <w:tblHeader/>
        </w:trPr>
        <w:tc>
          <w:tcPr>
            <w:tcW w:w="1685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Performance Level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 Significantly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more than 15.1 points)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3 to 15 points)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(declined or increased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by 2.9 points or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br/>
              <w:t>less)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3 to less than 14.9 points)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Significantly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15 points or more)</w:t>
            </w:r>
          </w:p>
        </w:tc>
      </w:tr>
      <w:tr w:rsidR="0012090A" w:rsidRPr="00FB25FD" w:rsidTr="00CC6FBC">
        <w:trPr>
          <w:trHeight w:val="1565"/>
        </w:trPr>
        <w:tc>
          <w:tcPr>
            <w:tcW w:w="1685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+25 points or higher in Current Year</w:t>
            </w:r>
          </w:p>
        </w:tc>
        <w:tc>
          <w:tcPr>
            <w:tcW w:w="1643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40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17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456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643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12090A" w:rsidRPr="00FB25FD" w:rsidTr="00CC6FBC">
        <w:trPr>
          <w:trHeight w:val="1790"/>
        </w:trPr>
        <w:tc>
          <w:tcPr>
            <w:tcW w:w="1685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0 to +24.9 points in Current Year</w:t>
            </w:r>
          </w:p>
        </w:tc>
        <w:tc>
          <w:tcPr>
            <w:tcW w:w="1643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40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517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45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643" w:type="dxa"/>
            <w:shd w:val="clear" w:color="auto" w:fill="0000FF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12090A" w:rsidRPr="00FB25FD" w:rsidTr="00CC6FBC">
        <w:trPr>
          <w:trHeight w:val="1610"/>
        </w:trPr>
        <w:tc>
          <w:tcPr>
            <w:tcW w:w="1685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-0.1 to -60 points in Current Year</w:t>
            </w:r>
          </w:p>
        </w:tc>
        <w:tc>
          <w:tcPr>
            <w:tcW w:w="1643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406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456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643" w:type="dxa"/>
            <w:shd w:val="clear" w:color="auto" w:fill="006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</w:tr>
      <w:tr w:rsidR="0012090A" w:rsidRPr="00FB25FD" w:rsidTr="00CC6FBC">
        <w:trPr>
          <w:trHeight w:val="1610"/>
        </w:trPr>
        <w:tc>
          <w:tcPr>
            <w:tcW w:w="1685" w:type="dxa"/>
            <w:shd w:val="clear" w:color="auto" w:fill="auto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-60.1 to -115 points in Current Year</w:t>
            </w:r>
          </w:p>
        </w:tc>
        <w:tc>
          <w:tcPr>
            <w:tcW w:w="1643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406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17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643" w:type="dxa"/>
            <w:shd w:val="clear" w:color="auto" w:fill="FFFF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  <w:tr w:rsidR="0012090A" w:rsidRPr="00FB25FD" w:rsidTr="00CC6FBC">
        <w:trPr>
          <w:trHeight w:val="1583"/>
        </w:trPr>
        <w:tc>
          <w:tcPr>
            <w:tcW w:w="1685" w:type="dxa"/>
            <w:shd w:val="clear" w:color="auto" w:fill="auto"/>
            <w:vAlign w:val="center"/>
          </w:tcPr>
          <w:p w:rsidR="0012090A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-115.1 points or lower in Current Year</w:t>
            </w:r>
          </w:p>
        </w:tc>
        <w:tc>
          <w:tcPr>
            <w:tcW w:w="1643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406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17" w:type="dxa"/>
            <w:shd w:val="clear" w:color="auto" w:fill="A200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456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643" w:type="dxa"/>
            <w:shd w:val="clear" w:color="auto" w:fill="FFA500"/>
            <w:vAlign w:val="center"/>
          </w:tcPr>
          <w:p w:rsidR="0012090A" w:rsidRPr="00FB25FD" w:rsidRDefault="0012090A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</w:tr>
    </w:tbl>
    <w:p w:rsidR="00EF38F2" w:rsidRPr="00EF38F2" w:rsidRDefault="00FD102D" w:rsidP="0088225B">
      <w:pPr>
        <w:pStyle w:val="Heading3"/>
      </w:pPr>
      <w:r>
        <w:br w:type="page"/>
      </w:r>
      <w:r w:rsidR="00EF38F2" w:rsidRPr="0083448F">
        <w:lastRenderedPageBreak/>
        <w:t>DASS Schools Mathematics Academic Indicator Five-by-Five Colored Table for Grade 11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table math academic grade 11."/>
      </w:tblPr>
      <w:tblGrid>
        <w:gridCol w:w="1685"/>
        <w:gridCol w:w="1643"/>
        <w:gridCol w:w="1406"/>
        <w:gridCol w:w="1517"/>
        <w:gridCol w:w="1456"/>
        <w:gridCol w:w="1643"/>
      </w:tblGrid>
      <w:tr w:rsidR="003808F4" w:rsidRPr="00FB25FD" w:rsidTr="0037161C">
        <w:trPr>
          <w:cantSplit/>
          <w:tblHeader/>
        </w:trPr>
        <w:tc>
          <w:tcPr>
            <w:tcW w:w="1685" w:type="dxa"/>
            <w:shd w:val="clear" w:color="auto" w:fill="auto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Performance Level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 Significantly</w:t>
            </w:r>
          </w:p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more than 15.1 points)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Declined</w:t>
            </w:r>
          </w:p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3 to 15 points)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from Prior Year </w:t>
            </w:r>
            <w:r w:rsidRPr="00FB25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(declined or increased 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by 2.9 points or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br/>
              <w:t>less)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3 to less than 14.9 points)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Increased Significantly</w:t>
            </w:r>
          </w:p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from Prior Year (by 15 points or more)</w:t>
            </w:r>
          </w:p>
        </w:tc>
      </w:tr>
      <w:tr w:rsidR="003808F4" w:rsidRPr="00FB25FD" w:rsidTr="00CC6FBC">
        <w:trPr>
          <w:trHeight w:val="1565"/>
        </w:trPr>
        <w:tc>
          <w:tcPr>
            <w:tcW w:w="1685" w:type="dxa"/>
            <w:shd w:val="clear" w:color="auto" w:fill="auto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+25 points or higher in Current Year</w:t>
            </w:r>
          </w:p>
        </w:tc>
        <w:tc>
          <w:tcPr>
            <w:tcW w:w="1643" w:type="dxa"/>
            <w:shd w:val="clear" w:color="auto" w:fill="0065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406" w:type="dxa"/>
            <w:shd w:val="clear" w:color="auto" w:fill="0065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17" w:type="dxa"/>
            <w:shd w:val="clear" w:color="auto" w:fill="0000FF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456" w:type="dxa"/>
            <w:shd w:val="clear" w:color="auto" w:fill="0000FF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643" w:type="dxa"/>
            <w:shd w:val="clear" w:color="auto" w:fill="0000FF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3808F4" w:rsidRPr="00FB25FD" w:rsidTr="00CC6FBC">
        <w:trPr>
          <w:trHeight w:val="1790"/>
        </w:trPr>
        <w:tc>
          <w:tcPr>
            <w:tcW w:w="1685" w:type="dxa"/>
            <w:shd w:val="clear" w:color="auto" w:fill="auto"/>
            <w:vAlign w:val="center"/>
          </w:tcPr>
          <w:p w:rsidR="003808F4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0 to +24.9 points in Current Year</w:t>
            </w:r>
          </w:p>
        </w:tc>
        <w:tc>
          <w:tcPr>
            <w:tcW w:w="1643" w:type="dxa"/>
            <w:shd w:val="clear" w:color="auto" w:fill="0065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406" w:type="dxa"/>
            <w:shd w:val="clear" w:color="auto" w:fill="0065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1517" w:type="dxa"/>
            <w:shd w:val="clear" w:color="auto" w:fill="0065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456" w:type="dxa"/>
            <w:shd w:val="clear" w:color="auto" w:fill="0065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643" w:type="dxa"/>
            <w:shd w:val="clear" w:color="auto" w:fill="0000FF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3808F4" w:rsidRPr="00FB25FD" w:rsidTr="00CC6FBC">
        <w:trPr>
          <w:trHeight w:val="1610"/>
        </w:trPr>
        <w:tc>
          <w:tcPr>
            <w:tcW w:w="1685" w:type="dxa"/>
            <w:shd w:val="clear" w:color="auto" w:fill="auto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-0.1 to -60 points in Current Year</w:t>
            </w:r>
          </w:p>
        </w:tc>
        <w:tc>
          <w:tcPr>
            <w:tcW w:w="1643" w:type="dxa"/>
            <w:shd w:val="clear" w:color="auto" w:fill="FFFF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406" w:type="dxa"/>
            <w:shd w:val="clear" w:color="auto" w:fill="FFFF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456" w:type="dxa"/>
            <w:shd w:val="clear" w:color="auto" w:fill="0065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643" w:type="dxa"/>
            <w:shd w:val="clear" w:color="auto" w:fill="0065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</w:tr>
      <w:tr w:rsidR="003808F4" w:rsidRPr="00FB25FD" w:rsidTr="00CC6FBC">
        <w:trPr>
          <w:trHeight w:val="1610"/>
        </w:trPr>
        <w:tc>
          <w:tcPr>
            <w:tcW w:w="1685" w:type="dxa"/>
            <w:shd w:val="clear" w:color="auto" w:fill="auto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-60.1 to </w:t>
            </w:r>
            <w:r w:rsidRPr="0083448F">
              <w:rPr>
                <w:rFonts w:ascii="Arial" w:eastAsia="Times New Roman" w:hAnsi="Arial" w:cs="Arial"/>
                <w:sz w:val="24"/>
                <w:szCs w:val="24"/>
              </w:rPr>
              <w:t>-185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 points in Current Year</w:t>
            </w:r>
          </w:p>
        </w:tc>
        <w:tc>
          <w:tcPr>
            <w:tcW w:w="1643" w:type="dxa"/>
            <w:shd w:val="clear" w:color="auto" w:fill="FFA5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406" w:type="dxa"/>
            <w:shd w:val="clear" w:color="auto" w:fill="FFA5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17" w:type="dxa"/>
            <w:shd w:val="clear" w:color="auto" w:fill="FFA5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643" w:type="dxa"/>
            <w:shd w:val="clear" w:color="auto" w:fill="FFFF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  <w:tr w:rsidR="003808F4" w:rsidRPr="00FB25FD" w:rsidTr="00CC6FBC">
        <w:trPr>
          <w:trHeight w:val="1583"/>
        </w:trPr>
        <w:tc>
          <w:tcPr>
            <w:tcW w:w="1685" w:type="dxa"/>
            <w:shd w:val="clear" w:color="auto" w:fill="auto"/>
            <w:vAlign w:val="center"/>
          </w:tcPr>
          <w:p w:rsidR="003808F4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83448F">
              <w:rPr>
                <w:rFonts w:ascii="Arial" w:eastAsia="Times New Roman" w:hAnsi="Arial" w:cs="Arial"/>
                <w:sz w:val="24"/>
                <w:szCs w:val="24"/>
              </w:rPr>
              <w:t>185.1</w:t>
            </w:r>
            <w:r w:rsidRPr="00FB25FD">
              <w:rPr>
                <w:rFonts w:ascii="Arial" w:eastAsia="Times New Roman" w:hAnsi="Arial" w:cs="Arial"/>
                <w:sz w:val="24"/>
                <w:szCs w:val="24"/>
              </w:rPr>
              <w:t xml:space="preserve"> points or lower in Current Year</w:t>
            </w:r>
          </w:p>
        </w:tc>
        <w:tc>
          <w:tcPr>
            <w:tcW w:w="1643" w:type="dxa"/>
            <w:shd w:val="clear" w:color="auto" w:fill="A200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406" w:type="dxa"/>
            <w:shd w:val="clear" w:color="auto" w:fill="A200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17" w:type="dxa"/>
            <w:shd w:val="clear" w:color="auto" w:fill="A200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456" w:type="dxa"/>
            <w:shd w:val="clear" w:color="auto" w:fill="FFA5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643" w:type="dxa"/>
            <w:shd w:val="clear" w:color="auto" w:fill="FFA500"/>
            <w:vAlign w:val="center"/>
          </w:tcPr>
          <w:p w:rsidR="003808F4" w:rsidRPr="00FB25FD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25FD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</w:tr>
    </w:tbl>
    <w:p w:rsidR="00EF38F2" w:rsidRDefault="00EF38F2">
      <w:pPr>
        <w:spacing w:after="0" w:line="240" w:lineRule="auto"/>
      </w:pPr>
      <w:r>
        <w:br w:type="page"/>
      </w:r>
    </w:p>
    <w:p w:rsidR="00FD102D" w:rsidRPr="00FD102D" w:rsidRDefault="00FD102D" w:rsidP="00FD102D">
      <w:pPr>
        <w:pStyle w:val="Heading2"/>
      </w:pPr>
      <w:r w:rsidRPr="006879C9">
        <w:lastRenderedPageBreak/>
        <w:t>C</w:t>
      </w:r>
      <w:r>
        <w:t>ollege/Career Indicator</w:t>
      </w:r>
    </w:p>
    <w:p w:rsidR="00926394" w:rsidRDefault="00FD102D" w:rsidP="00FD102D">
      <w:pPr>
        <w:pStyle w:val="Heading3"/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College/Career Measure</w:t>
      </w:r>
      <w:r w:rsidRPr="00276342">
        <w:rPr>
          <w:rFonts w:cs="Arial"/>
          <w:szCs w:val="24"/>
          <w:lang w:val="en"/>
        </w:rPr>
        <w:t xml:space="preserve"> Five-by-Five Colored Table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5x5 table college/career measure."/>
      </w:tblPr>
      <w:tblGrid>
        <w:gridCol w:w="1685"/>
        <w:gridCol w:w="1643"/>
        <w:gridCol w:w="1406"/>
        <w:gridCol w:w="1517"/>
        <w:gridCol w:w="1456"/>
        <w:gridCol w:w="1643"/>
      </w:tblGrid>
      <w:tr w:rsidR="003808F4" w:rsidRPr="00274CAB" w:rsidTr="0037161C">
        <w:trPr>
          <w:cantSplit/>
          <w:tblHeader/>
        </w:trPr>
        <w:tc>
          <w:tcPr>
            <w:tcW w:w="1685" w:type="dxa"/>
            <w:shd w:val="clear" w:color="auto" w:fill="auto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Perform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ance </w:t>
            </w:r>
            <w:r w:rsidRPr="00274CAB">
              <w:rPr>
                <w:rFonts w:ascii="Arial" w:eastAsia="Times New Roman" w:hAnsi="Arial" w:cs="Arial"/>
                <w:sz w:val="24"/>
                <w:szCs w:val="24"/>
              </w:rPr>
              <w:t>Level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808F4" w:rsidRPr="00B34C3B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4C3B">
              <w:rPr>
                <w:rFonts w:ascii="Arial" w:eastAsia="Times New Roman" w:hAnsi="Arial" w:cs="Arial"/>
                <w:sz w:val="24"/>
                <w:szCs w:val="24"/>
              </w:rPr>
              <w:t>Declined Significantly</w:t>
            </w:r>
          </w:p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4C3B">
              <w:rPr>
                <w:rFonts w:ascii="Arial" w:eastAsia="Times New Roman" w:hAnsi="Arial" w:cs="Arial"/>
                <w:sz w:val="24"/>
                <w:szCs w:val="24"/>
              </w:rPr>
              <w:t>from Prior Year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B34C3B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9.1% or more)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808F4" w:rsidRPr="00B34C3B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4C3B">
              <w:rPr>
                <w:rFonts w:ascii="Arial" w:eastAsia="Times New Roman" w:hAnsi="Arial" w:cs="Arial"/>
                <w:sz w:val="24"/>
                <w:szCs w:val="24"/>
              </w:rPr>
              <w:t>Declined</w:t>
            </w:r>
          </w:p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4C3B">
              <w:rPr>
                <w:rFonts w:ascii="Arial" w:eastAsia="Times New Roman" w:hAnsi="Arial" w:cs="Arial"/>
                <w:sz w:val="24"/>
                <w:szCs w:val="24"/>
              </w:rPr>
              <w:t>from Prior Year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B34C3B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2.0%</w:t>
            </w:r>
            <w:r w:rsidRPr="00B34C3B">
              <w:rPr>
                <w:rFonts w:ascii="Arial" w:eastAsia="Times New Roman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9.0%)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808F4" w:rsidRPr="00B34C3B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4C3B">
              <w:rPr>
                <w:rFonts w:ascii="Arial" w:eastAsia="Times New Roman" w:hAnsi="Arial" w:cs="Arial"/>
                <w:sz w:val="24"/>
                <w:szCs w:val="24"/>
              </w:rPr>
              <w:t>Maintained</w:t>
            </w:r>
          </w:p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4C3B">
              <w:rPr>
                <w:rFonts w:ascii="Arial" w:eastAsia="Times New Roman" w:hAnsi="Arial" w:cs="Arial"/>
                <w:sz w:val="24"/>
                <w:szCs w:val="24"/>
              </w:rPr>
              <w:t>from Prior Year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34C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B34C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eclined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or i</w:t>
            </w:r>
            <w:r w:rsidRPr="00B34C3B">
              <w:rPr>
                <w:rFonts w:ascii="Arial" w:eastAsia="Times New Roman" w:hAnsi="Arial" w:cs="Arial"/>
                <w:sz w:val="24"/>
                <w:szCs w:val="24"/>
              </w:rPr>
              <w:t>ncreased by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1.9% or</w:t>
            </w:r>
            <w:r w:rsidRPr="00B34C3B">
              <w:rPr>
                <w:rFonts w:ascii="Arial" w:eastAsia="Times New Roman" w:hAnsi="Arial" w:cs="Arial"/>
                <w:sz w:val="24"/>
                <w:szCs w:val="24"/>
              </w:rPr>
              <w:t xml:space="preserve"> less)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08F4" w:rsidRPr="00B34C3B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4C3B">
              <w:rPr>
                <w:rFonts w:ascii="Arial" w:eastAsia="Times New Roman" w:hAnsi="Arial" w:cs="Arial"/>
                <w:sz w:val="24"/>
                <w:szCs w:val="24"/>
              </w:rPr>
              <w:t>Increased</w:t>
            </w:r>
          </w:p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4C3B">
              <w:rPr>
                <w:rFonts w:ascii="Arial" w:eastAsia="Times New Roman" w:hAnsi="Arial" w:cs="Arial"/>
                <w:sz w:val="24"/>
                <w:szCs w:val="24"/>
              </w:rPr>
              <w:t>from Prior Year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34C3B">
              <w:rPr>
                <w:rFonts w:ascii="Arial" w:eastAsia="Times New Roman" w:hAnsi="Arial" w:cs="Arial"/>
                <w:sz w:val="24"/>
                <w:szCs w:val="24"/>
              </w:rPr>
              <w:t xml:space="preserve">(by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2.0%</w:t>
            </w:r>
            <w:r w:rsidRPr="00B34C3B">
              <w:rPr>
                <w:rFonts w:ascii="Arial" w:eastAsia="Times New Roman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8.9%</w:t>
            </w:r>
            <w:r w:rsidRPr="00B34C3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808F4" w:rsidRPr="00B34C3B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4C3B">
              <w:rPr>
                <w:rFonts w:ascii="Arial" w:eastAsia="Times New Roman" w:hAnsi="Arial" w:cs="Arial"/>
                <w:sz w:val="24"/>
                <w:szCs w:val="24"/>
              </w:rPr>
              <w:t>Increased Significantly</w:t>
            </w:r>
          </w:p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34C3B">
              <w:rPr>
                <w:rFonts w:ascii="Arial" w:eastAsia="Times New Roman" w:hAnsi="Arial" w:cs="Arial"/>
                <w:sz w:val="24"/>
                <w:szCs w:val="24"/>
              </w:rPr>
              <w:t>from Prior Year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34C3B">
              <w:rPr>
                <w:rFonts w:ascii="Arial" w:eastAsia="Times New Roman" w:hAnsi="Arial" w:cs="Arial"/>
                <w:sz w:val="24"/>
                <w:szCs w:val="24"/>
              </w:rPr>
              <w:t xml:space="preserve">(by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9.0%</w:t>
            </w:r>
            <w:r w:rsidRPr="00B34C3B">
              <w:rPr>
                <w:rFonts w:ascii="Arial" w:eastAsia="Times New Roman" w:hAnsi="Arial" w:cs="Arial"/>
                <w:sz w:val="24"/>
                <w:szCs w:val="24"/>
              </w:rPr>
              <w:t xml:space="preserve"> or more)</w:t>
            </w:r>
          </w:p>
        </w:tc>
      </w:tr>
      <w:tr w:rsidR="003808F4" w:rsidRPr="00274CAB" w:rsidTr="00CC6FBC">
        <w:trPr>
          <w:trHeight w:val="1565"/>
        </w:trPr>
        <w:tc>
          <w:tcPr>
            <w:tcW w:w="1685" w:type="dxa"/>
            <w:shd w:val="clear" w:color="auto" w:fill="auto"/>
            <w:vAlign w:val="center"/>
          </w:tcPr>
          <w:p w:rsidR="003808F4" w:rsidRPr="00196596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6596">
              <w:rPr>
                <w:rFonts w:ascii="Arial" w:eastAsia="Times New Roman" w:hAnsi="Arial" w:cs="Arial"/>
                <w:sz w:val="24"/>
                <w:szCs w:val="24"/>
              </w:rPr>
              <w:t>Very High</w:t>
            </w:r>
          </w:p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70.0% or greater</w:t>
            </w:r>
            <w:r w:rsidRPr="00196596">
              <w:rPr>
                <w:rFonts w:ascii="Arial" w:eastAsia="Times New Roman" w:hAnsi="Arial" w:cs="Arial"/>
                <w:sz w:val="24"/>
                <w:szCs w:val="24"/>
              </w:rPr>
              <w:t xml:space="preserve"> in Current Year</w:t>
            </w:r>
          </w:p>
        </w:tc>
        <w:tc>
          <w:tcPr>
            <w:tcW w:w="1643" w:type="dxa"/>
            <w:shd w:val="clear" w:color="auto" w:fill="FFFF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406" w:type="dxa"/>
            <w:shd w:val="clear" w:color="auto" w:fill="0065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17" w:type="dxa"/>
            <w:shd w:val="clear" w:color="auto" w:fill="0000FF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456" w:type="dxa"/>
            <w:shd w:val="clear" w:color="auto" w:fill="0000FF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643" w:type="dxa"/>
            <w:shd w:val="clear" w:color="auto" w:fill="0000FF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3808F4" w:rsidRPr="00274CAB" w:rsidTr="00CC6FBC">
        <w:trPr>
          <w:trHeight w:val="1790"/>
        </w:trPr>
        <w:tc>
          <w:tcPr>
            <w:tcW w:w="1685" w:type="dxa"/>
            <w:shd w:val="clear" w:color="auto" w:fill="auto"/>
            <w:vAlign w:val="center"/>
          </w:tcPr>
          <w:p w:rsidR="003808F4" w:rsidRPr="00196596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6596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  <w:r w:rsidRPr="0019659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55.0%</w:t>
            </w:r>
            <w:r w:rsidRPr="00196596">
              <w:rPr>
                <w:rFonts w:ascii="Arial" w:eastAsia="Times New Roman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69.9%</w:t>
            </w:r>
            <w:r w:rsidRPr="00196596">
              <w:rPr>
                <w:rFonts w:ascii="Arial" w:eastAsia="Times New Roman" w:hAnsi="Arial" w:cs="Arial"/>
                <w:sz w:val="24"/>
                <w:szCs w:val="24"/>
              </w:rPr>
              <w:t xml:space="preserve"> in Current Year</w:t>
            </w:r>
          </w:p>
        </w:tc>
        <w:tc>
          <w:tcPr>
            <w:tcW w:w="1643" w:type="dxa"/>
            <w:shd w:val="clear" w:color="auto" w:fill="FFA5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406" w:type="dxa"/>
            <w:shd w:val="clear" w:color="auto" w:fill="FFFF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517" w:type="dxa"/>
            <w:shd w:val="clear" w:color="auto" w:fill="0065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456" w:type="dxa"/>
            <w:shd w:val="clear" w:color="auto" w:fill="0065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643" w:type="dxa"/>
            <w:shd w:val="clear" w:color="auto" w:fill="0000FF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Blue </w:t>
            </w:r>
          </w:p>
        </w:tc>
      </w:tr>
      <w:tr w:rsidR="003808F4" w:rsidRPr="00274CAB" w:rsidTr="00CC6FBC">
        <w:trPr>
          <w:trHeight w:val="1610"/>
        </w:trPr>
        <w:tc>
          <w:tcPr>
            <w:tcW w:w="1685" w:type="dxa"/>
            <w:shd w:val="clear" w:color="auto" w:fill="auto"/>
            <w:vAlign w:val="center"/>
          </w:tcPr>
          <w:p w:rsidR="003808F4" w:rsidRPr="00196596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6596"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35.0%</w:t>
            </w:r>
            <w:r w:rsidRPr="00196596">
              <w:rPr>
                <w:rFonts w:ascii="Arial" w:eastAsia="Times New Roman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less than 54.9%</w:t>
            </w:r>
            <w:r w:rsidRPr="00196596">
              <w:rPr>
                <w:rFonts w:ascii="Arial" w:eastAsia="Times New Roman" w:hAnsi="Arial" w:cs="Arial"/>
                <w:sz w:val="24"/>
                <w:szCs w:val="24"/>
              </w:rPr>
              <w:t xml:space="preserve"> in Current Year</w:t>
            </w:r>
          </w:p>
        </w:tc>
        <w:tc>
          <w:tcPr>
            <w:tcW w:w="1643" w:type="dxa"/>
            <w:shd w:val="clear" w:color="auto" w:fill="FFA5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406" w:type="dxa"/>
            <w:shd w:val="clear" w:color="auto" w:fill="FFA5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456" w:type="dxa"/>
            <w:shd w:val="clear" w:color="auto" w:fill="0065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/>
                <w:color w:val="FFFFFF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643" w:type="dxa"/>
            <w:shd w:val="clear" w:color="auto" w:fill="0065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Green</w:t>
            </w:r>
          </w:p>
        </w:tc>
      </w:tr>
      <w:tr w:rsidR="003808F4" w:rsidRPr="00274CAB" w:rsidTr="00CC6FBC">
        <w:trPr>
          <w:trHeight w:val="1610"/>
        </w:trPr>
        <w:tc>
          <w:tcPr>
            <w:tcW w:w="1685" w:type="dxa"/>
            <w:shd w:val="clear" w:color="auto" w:fill="auto"/>
            <w:vAlign w:val="center"/>
          </w:tcPr>
          <w:p w:rsidR="003808F4" w:rsidRPr="00196596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6596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10.0%</w:t>
            </w:r>
            <w:r w:rsidRPr="00196596">
              <w:rPr>
                <w:rFonts w:ascii="Arial" w:eastAsia="Times New Roman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34.9%</w:t>
            </w:r>
            <w:r w:rsidRPr="00196596">
              <w:rPr>
                <w:rFonts w:ascii="Arial" w:eastAsia="Times New Roman" w:hAnsi="Arial" w:cs="Arial"/>
                <w:sz w:val="24"/>
                <w:szCs w:val="24"/>
              </w:rPr>
              <w:t xml:space="preserve"> in Current Year</w:t>
            </w:r>
          </w:p>
        </w:tc>
        <w:tc>
          <w:tcPr>
            <w:tcW w:w="1643" w:type="dxa"/>
            <w:shd w:val="clear" w:color="auto" w:fill="A200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406" w:type="dxa"/>
            <w:shd w:val="clear" w:color="auto" w:fill="FFA5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517" w:type="dxa"/>
            <w:shd w:val="clear" w:color="auto" w:fill="FFA5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1643" w:type="dxa"/>
            <w:shd w:val="clear" w:color="auto" w:fill="FFFF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  <w:tr w:rsidR="003808F4" w:rsidRPr="00274CAB" w:rsidTr="00CC6FBC">
        <w:trPr>
          <w:trHeight w:val="1583"/>
        </w:trPr>
        <w:tc>
          <w:tcPr>
            <w:tcW w:w="1685" w:type="dxa"/>
            <w:shd w:val="clear" w:color="auto" w:fill="auto"/>
            <w:vAlign w:val="center"/>
          </w:tcPr>
          <w:p w:rsidR="003808F4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Very Low</w:t>
            </w:r>
          </w:p>
          <w:p w:rsidR="003808F4" w:rsidRPr="00196596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9.9%</w:t>
            </w:r>
            <w:r w:rsidRPr="00196596">
              <w:rPr>
                <w:rFonts w:ascii="Arial" w:eastAsia="Times New Roman" w:hAnsi="Arial" w:cs="Arial"/>
                <w:sz w:val="24"/>
                <w:szCs w:val="24"/>
              </w:rPr>
              <w:t xml:space="preserve"> or lower in Current Year</w:t>
            </w:r>
          </w:p>
        </w:tc>
        <w:tc>
          <w:tcPr>
            <w:tcW w:w="1643" w:type="dxa"/>
            <w:shd w:val="clear" w:color="auto" w:fill="A200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406" w:type="dxa"/>
            <w:shd w:val="clear" w:color="auto" w:fill="A200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517" w:type="dxa"/>
            <w:shd w:val="clear" w:color="auto" w:fill="A200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1456" w:type="dxa"/>
            <w:shd w:val="clear" w:color="auto" w:fill="FFA5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CAB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1643" w:type="dxa"/>
            <w:shd w:val="clear" w:color="auto" w:fill="FFFF00"/>
            <w:vAlign w:val="center"/>
          </w:tcPr>
          <w:p w:rsidR="003808F4" w:rsidRPr="00274CAB" w:rsidRDefault="003808F4" w:rsidP="00CC6FB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</w:tr>
    </w:tbl>
    <w:p w:rsidR="003808F4" w:rsidRPr="003808F4" w:rsidRDefault="003808F4" w:rsidP="003808F4">
      <w:pPr>
        <w:rPr>
          <w:lang w:val="en"/>
        </w:rPr>
      </w:pPr>
    </w:p>
    <w:sectPr w:rsidR="003808F4" w:rsidRPr="00380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F4F" w:rsidRDefault="00480F4F" w:rsidP="000A4798">
      <w:pPr>
        <w:spacing w:after="0" w:line="240" w:lineRule="auto"/>
      </w:pPr>
      <w:r>
        <w:separator/>
      </w:r>
    </w:p>
  </w:endnote>
  <w:endnote w:type="continuationSeparator" w:id="0">
    <w:p w:rsidR="00480F4F" w:rsidRDefault="00480F4F" w:rsidP="000A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F4F" w:rsidRDefault="00480F4F" w:rsidP="000A4798">
      <w:pPr>
        <w:spacing w:after="0" w:line="240" w:lineRule="auto"/>
      </w:pPr>
      <w:r>
        <w:separator/>
      </w:r>
    </w:p>
  </w:footnote>
  <w:footnote w:type="continuationSeparator" w:id="0">
    <w:p w:rsidR="00480F4F" w:rsidRDefault="00480F4F" w:rsidP="000A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14E5F"/>
    <w:multiLevelType w:val="hybridMultilevel"/>
    <w:tmpl w:val="B3AA0DC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NTAwMjOyMLI0NzNS0lEKTi0uzszPAykwrAUArx2o/ywAAAA="/>
  </w:docVars>
  <w:rsids>
    <w:rsidRoot w:val="00FB25FD"/>
    <w:rsid w:val="00036F0C"/>
    <w:rsid w:val="00074195"/>
    <w:rsid w:val="000A4798"/>
    <w:rsid w:val="0012090A"/>
    <w:rsid w:val="00133765"/>
    <w:rsid w:val="002D6A70"/>
    <w:rsid w:val="00321F3B"/>
    <w:rsid w:val="00337400"/>
    <w:rsid w:val="0037161C"/>
    <w:rsid w:val="003808F4"/>
    <w:rsid w:val="003E6C42"/>
    <w:rsid w:val="00480F4F"/>
    <w:rsid w:val="00501A7F"/>
    <w:rsid w:val="005B72B7"/>
    <w:rsid w:val="006605AA"/>
    <w:rsid w:val="00683DAE"/>
    <w:rsid w:val="006A3C22"/>
    <w:rsid w:val="007745CE"/>
    <w:rsid w:val="00806527"/>
    <w:rsid w:val="0083448F"/>
    <w:rsid w:val="0088225B"/>
    <w:rsid w:val="008A7F31"/>
    <w:rsid w:val="00926394"/>
    <w:rsid w:val="00930294"/>
    <w:rsid w:val="00953BA4"/>
    <w:rsid w:val="00A43DDB"/>
    <w:rsid w:val="00AD08C9"/>
    <w:rsid w:val="00B00EA2"/>
    <w:rsid w:val="00B3198F"/>
    <w:rsid w:val="00BB3154"/>
    <w:rsid w:val="00BE63B7"/>
    <w:rsid w:val="00C17D81"/>
    <w:rsid w:val="00C63308"/>
    <w:rsid w:val="00C92541"/>
    <w:rsid w:val="00D74941"/>
    <w:rsid w:val="00D84593"/>
    <w:rsid w:val="00DF0163"/>
    <w:rsid w:val="00DF7952"/>
    <w:rsid w:val="00E7312E"/>
    <w:rsid w:val="00E8128B"/>
    <w:rsid w:val="00EB7943"/>
    <w:rsid w:val="00EE01E6"/>
    <w:rsid w:val="00EF38F2"/>
    <w:rsid w:val="00F07A87"/>
    <w:rsid w:val="00FB25FD"/>
    <w:rsid w:val="00F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A1891-AD32-40F1-90D8-8914829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5FD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5F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FD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F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F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5FD"/>
    <w:rPr>
      <w:rFonts w:ascii="Arial" w:eastAsiaTheme="majorEastAsia" w:hAnsi="Arial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25FD"/>
    <w:rPr>
      <w:rFonts w:ascii="Arial" w:eastAsiaTheme="majorEastAsia" w:hAnsi="Arial" w:cstheme="majorBidi"/>
      <w:b/>
      <w:bCs/>
      <w:sz w:val="24"/>
      <w:szCs w:val="26"/>
    </w:rPr>
  </w:style>
  <w:style w:type="character" w:styleId="Hyperlink">
    <w:name w:val="Hyperlink"/>
    <w:uiPriority w:val="99"/>
    <w:unhideWhenUsed/>
    <w:rsid w:val="00FB25FD"/>
    <w:rPr>
      <w:strike w:val="0"/>
      <w:dstrike w:val="0"/>
      <w:color w:val="0000FF"/>
      <w:u w:val="singl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B25FD"/>
    <w:pPr>
      <w:ind w:left="720"/>
      <w:contextualSpacing/>
    </w:pPr>
  </w:style>
  <w:style w:type="table" w:styleId="TableGrid">
    <w:name w:val="Table Grid"/>
    <w:basedOn w:val="TableNormal"/>
    <w:uiPriority w:val="39"/>
    <w:rsid w:val="00F07A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07A87"/>
    <w:pPr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7A87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B8CB-3A39-4A57-BDD1-92AE728F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Indicators Colored Tables - California Accountability &amp; School Dashboard (CA Dept of Education)</vt:lpstr>
    </vt:vector>
  </TitlesOfParts>
  <Company>CA Department of Education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Indicators Colored Tables - California Accountability &amp; School Dashboard (CA Dept of Education)</dc:title>
  <dc:subject>A document that provides the five-by-five colored table for each of the State Indicators.</dc:subject>
  <dc:creator>California Department of Education</dc:creator>
  <cp:keywords/>
  <dc:description/>
  <cp:lastModifiedBy>Ryoko Oshiro</cp:lastModifiedBy>
  <cp:revision>7</cp:revision>
  <dcterms:created xsi:type="dcterms:W3CDTF">2019-12-12T17:19:00Z</dcterms:created>
  <dcterms:modified xsi:type="dcterms:W3CDTF">2021-02-19T23:16:00Z</dcterms:modified>
</cp:coreProperties>
</file>